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0"/>
        <w:rPr>
          <w:rFonts w:ascii="华文中宋" w:hAnsi="华文中宋" w:eastAsia="华文中宋"/>
          <w:b/>
          <w:color w:val="000000" w:themeColor="text1"/>
          <w:sz w:val="30"/>
          <w:szCs w:val="30"/>
        </w:rPr>
      </w:pPr>
      <w:bookmarkStart w:id="0" w:name="_Toc482257345"/>
      <w:bookmarkStart w:id="1" w:name="_Toc485400194"/>
      <w:bookmarkStart w:id="2" w:name="_Toc482202131"/>
      <w:r>
        <w:rPr>
          <w:rFonts w:hint="eastAsia" w:ascii="华文中宋" w:hAnsi="华文中宋" w:eastAsia="华文中宋"/>
          <w:b/>
          <w:color w:val="000000" w:themeColor="text1"/>
          <w:sz w:val="30"/>
          <w:szCs w:val="30"/>
        </w:rPr>
        <w:t>泰州学院科研奖励条例</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cs="宋体"/>
          <w:b/>
          <w:color w:val="000000" w:themeColor="text1"/>
          <w:kern w:val="0"/>
          <w:sz w:val="24"/>
          <w:szCs w:val="24"/>
        </w:rPr>
      </w:pPr>
      <w:r>
        <w:rPr>
          <w:rFonts w:hint="eastAsia" w:ascii="宋体" w:hAnsi="宋体" w:cs="宋体"/>
          <w:b/>
          <w:color w:val="000000" w:themeColor="text1"/>
          <w:kern w:val="0"/>
          <w:sz w:val="24"/>
          <w:szCs w:val="24"/>
        </w:rPr>
        <w:t>（修</w:t>
      </w:r>
      <w:bookmarkStart w:id="3" w:name="_GoBack"/>
      <w:r>
        <w:rPr>
          <w:rFonts w:hint="eastAsia" w:ascii="宋体" w:hAnsi="宋体" w:cs="宋体"/>
          <w:b/>
          <w:color w:val="000000" w:themeColor="text1"/>
          <w:kern w:val="0"/>
          <w:sz w:val="24"/>
          <w:szCs w:val="24"/>
        </w:rPr>
        <w:t>订稿）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cs="宋体"/>
          <w:b/>
          <w:color w:val="000000" w:themeColor="text1"/>
          <w:kern w:val="0"/>
          <w:sz w:val="24"/>
          <w:szCs w:val="24"/>
        </w:rPr>
      </w:pPr>
      <w:r>
        <w:rPr>
          <w:rFonts w:hint="eastAsia" w:ascii="宋体" w:hAnsi="宋体" w:cs="Arial"/>
          <w:b/>
          <w:bCs/>
          <w:color w:val="000000" w:themeColor="text1"/>
          <w:kern w:val="36"/>
          <w:sz w:val="21"/>
          <w:szCs w:val="21"/>
          <w:lang w:val="en-US" w:eastAsia="zh-CN"/>
        </w:rPr>
        <w:t>泰院发</w:t>
      </w:r>
      <w:r>
        <w:rPr>
          <w:rFonts w:hint="eastAsia" w:ascii="微软雅黑" w:hAnsi="微软雅黑" w:eastAsia="微软雅黑" w:cs="微软雅黑"/>
          <w:b/>
          <w:bCs/>
          <w:color w:val="000000" w:themeColor="text1"/>
          <w:kern w:val="36"/>
          <w:sz w:val="21"/>
          <w:szCs w:val="21"/>
          <w:lang w:val="en-US" w:eastAsia="zh-CN"/>
        </w:rPr>
        <w:t>〔</w:t>
      </w:r>
      <w:r>
        <w:rPr>
          <w:rFonts w:hint="eastAsia" w:ascii="宋体" w:hAnsi="宋体" w:cs="Arial"/>
          <w:b/>
          <w:bCs/>
          <w:color w:val="000000" w:themeColor="text1"/>
          <w:kern w:val="36"/>
          <w:sz w:val="21"/>
          <w:szCs w:val="21"/>
          <w:lang w:val="en-US" w:eastAsia="zh-CN"/>
        </w:rPr>
        <w:t>201</w:t>
      </w:r>
      <w:bookmarkEnd w:id="3"/>
      <w:r>
        <w:rPr>
          <w:rFonts w:hint="eastAsia" w:ascii="宋体" w:hAnsi="宋体" w:cs="Arial"/>
          <w:b/>
          <w:bCs/>
          <w:color w:val="000000" w:themeColor="text1"/>
          <w:kern w:val="36"/>
          <w:sz w:val="21"/>
          <w:szCs w:val="21"/>
          <w:lang w:val="en-US" w:eastAsia="zh-CN"/>
        </w:rPr>
        <w:t>7</w:t>
      </w:r>
      <w:r>
        <w:rPr>
          <w:rFonts w:hint="eastAsia" w:ascii="微软雅黑" w:hAnsi="微软雅黑" w:eastAsia="微软雅黑" w:cs="微软雅黑"/>
          <w:b/>
          <w:bCs/>
          <w:color w:val="000000" w:themeColor="text1"/>
          <w:kern w:val="36"/>
          <w:sz w:val="21"/>
          <w:szCs w:val="21"/>
          <w:lang w:val="en-US" w:eastAsia="zh-CN"/>
        </w:rPr>
        <w:t>〕</w:t>
      </w:r>
      <w:r>
        <w:rPr>
          <w:rFonts w:hint="eastAsia" w:ascii="宋体" w:hAnsi="宋体" w:cs="宋体"/>
          <w:b/>
          <w:bCs/>
          <w:color w:val="000000" w:themeColor="text1"/>
          <w:kern w:val="36"/>
          <w:sz w:val="21"/>
          <w:szCs w:val="21"/>
          <w:lang w:val="en-US" w:eastAsia="zh-CN"/>
        </w:rPr>
        <w:t>56号</w:t>
      </w:r>
    </w:p>
    <w:p>
      <w:pPr>
        <w:shd w:val="clear" w:color="auto" w:fill="FFFFFF"/>
        <w:spacing w:line="360" w:lineRule="auto"/>
        <w:jc w:val="center"/>
        <w:rPr>
          <w:rFonts w:ascii="黑体" w:hAnsi="黑体" w:eastAsia="黑体" w:cs="Arial"/>
          <w:b/>
          <w:color w:val="000000" w:themeColor="text1"/>
          <w:kern w:val="0"/>
          <w:sz w:val="28"/>
          <w:szCs w:val="28"/>
        </w:rPr>
      </w:pPr>
      <w:r>
        <w:rPr>
          <w:rFonts w:hint="eastAsia" w:ascii="黑体" w:hAnsi="黑体" w:eastAsia="黑体" w:cs="Arial"/>
          <w:b/>
          <w:color w:val="000000" w:themeColor="text1"/>
          <w:kern w:val="0"/>
          <w:sz w:val="28"/>
          <w:szCs w:val="28"/>
        </w:rPr>
        <w:t>第一章</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总</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则</w:t>
      </w:r>
      <w:r>
        <w:rPr>
          <w:rFonts w:ascii="黑体" w:hAnsi="黑体" w:eastAsia="黑体" w:cs="Arial"/>
          <w:b/>
          <w:color w:val="000000" w:themeColor="text1"/>
          <w:kern w:val="0"/>
          <w:sz w:val="28"/>
          <w:szCs w:val="28"/>
        </w:rPr>
        <w:t xml:space="preserve"> </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第一条</w:t>
      </w:r>
      <w:r>
        <w:rPr>
          <w:rFonts w:hint="eastAsia" w:ascii="宋体" w:hAnsi="宋体" w:cs="Arial"/>
          <w:color w:val="000000" w:themeColor="text1"/>
          <w:kern w:val="0"/>
          <w:sz w:val="24"/>
          <w:szCs w:val="24"/>
        </w:rPr>
        <w:t>　为使科研成果管理科学化、规范化，充分调动广大教职工从事科学研究的积极性，根据国家有关政策法规和学校实际，特制订本条例。</w:t>
      </w:r>
    </w:p>
    <w:p>
      <w:pPr>
        <w:spacing w:line="360" w:lineRule="auto"/>
        <w:ind w:firstLine="482" w:firstLineChars="200"/>
        <w:rPr>
          <w:rFonts w:ascii="宋体" w:hAnsi="宋体" w:cs="宋体"/>
          <w:color w:val="000000" w:themeColor="text1"/>
          <w:kern w:val="0"/>
          <w:sz w:val="24"/>
          <w:szCs w:val="24"/>
        </w:rPr>
      </w:pPr>
      <w:r>
        <w:rPr>
          <w:rFonts w:hint="eastAsia" w:ascii="宋体" w:hAnsi="宋体" w:cs="宋体"/>
          <w:b/>
          <w:color w:val="000000" w:themeColor="text1"/>
          <w:kern w:val="0"/>
          <w:sz w:val="24"/>
          <w:szCs w:val="24"/>
        </w:rPr>
        <w:t>第二条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科研奖励原则上每年度核定奖励一次。</w:t>
      </w:r>
      <w:r>
        <w:rPr>
          <w:rFonts w:ascii="宋体" w:hAnsi="宋体" w:cs="宋体"/>
          <w:color w:val="000000" w:themeColor="text1"/>
          <w:kern w:val="0"/>
          <w:sz w:val="24"/>
          <w:szCs w:val="24"/>
        </w:rPr>
        <w:t xml:space="preserve"> </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第三条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科研奖励范围包括</w:t>
      </w:r>
      <w:r>
        <w:rPr>
          <w:rFonts w:ascii="宋体" w:hAnsi="宋体" w:cs="Arial"/>
          <w:color w:val="000000" w:themeColor="text1"/>
          <w:kern w:val="0"/>
          <w:sz w:val="24"/>
          <w:szCs w:val="24"/>
        </w:rPr>
        <w:t>包括</w:t>
      </w:r>
      <w:r>
        <w:rPr>
          <w:rFonts w:hint="eastAsia" w:ascii="宋体" w:hAnsi="宋体" w:cs="Arial"/>
          <w:color w:val="000000" w:themeColor="text1"/>
          <w:kern w:val="0"/>
          <w:sz w:val="24"/>
          <w:szCs w:val="24"/>
        </w:rPr>
        <w:t>科研基地奖励</w:t>
      </w:r>
      <w:r>
        <w:rPr>
          <w:rFonts w:hint="eastAsia" w:ascii="仿宋" w:hAnsi="仿宋" w:eastAsia="仿宋" w:cs="Arial"/>
          <w:color w:val="000000"/>
          <w:kern w:val="0"/>
          <w:sz w:val="32"/>
          <w:szCs w:val="32"/>
        </w:rPr>
        <w:t>、</w:t>
      </w:r>
      <w:r>
        <w:rPr>
          <w:rFonts w:hint="eastAsia" w:ascii="宋体" w:hAnsi="宋体" w:cs="Arial"/>
          <w:color w:val="000000" w:themeColor="text1"/>
          <w:kern w:val="0"/>
          <w:sz w:val="24"/>
          <w:szCs w:val="24"/>
        </w:rPr>
        <w:t>科研项目奖励、科研成果奖励、获奖科研成果奖励、科技发明等。</w:t>
      </w:r>
    </w:p>
    <w:p>
      <w:pPr>
        <w:shd w:val="clear" w:color="auto" w:fill="FFFFFF"/>
        <w:spacing w:line="360" w:lineRule="auto"/>
        <w:jc w:val="center"/>
        <w:rPr>
          <w:rFonts w:ascii="黑体" w:hAnsi="黑体" w:eastAsia="黑体" w:cs="Arial"/>
          <w:b/>
          <w:color w:val="000000" w:themeColor="text1"/>
          <w:kern w:val="0"/>
          <w:sz w:val="28"/>
          <w:szCs w:val="28"/>
        </w:rPr>
      </w:pPr>
      <w:r>
        <w:rPr>
          <w:rFonts w:hint="eastAsia" w:ascii="黑体" w:hAnsi="黑体" w:eastAsia="黑体" w:cs="Arial"/>
          <w:b/>
          <w:color w:val="000000" w:themeColor="text1"/>
          <w:kern w:val="0"/>
          <w:sz w:val="28"/>
          <w:szCs w:val="28"/>
        </w:rPr>
        <w:t>第二章</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奖励原则及要求</w:t>
      </w:r>
      <w:r>
        <w:rPr>
          <w:rFonts w:ascii="黑体" w:hAnsi="黑体" w:eastAsia="黑体" w:cs="Arial"/>
          <w:b/>
          <w:color w:val="000000" w:themeColor="text1"/>
          <w:kern w:val="0"/>
          <w:sz w:val="28"/>
          <w:szCs w:val="28"/>
        </w:rPr>
        <w:t xml:space="preserve"> </w:t>
      </w:r>
    </w:p>
    <w:p>
      <w:pPr>
        <w:spacing w:line="360" w:lineRule="auto"/>
        <w:ind w:firstLine="482" w:firstLineChars="200"/>
        <w:rPr>
          <w:rFonts w:ascii="宋体" w:hAnsi="宋体" w:cs="Arial"/>
          <w:color w:val="000000" w:themeColor="text1"/>
          <w:kern w:val="0"/>
          <w:sz w:val="24"/>
          <w:szCs w:val="24"/>
        </w:rPr>
      </w:pPr>
      <w:r>
        <w:rPr>
          <w:rFonts w:hint="eastAsia" w:ascii="宋体" w:hAnsi="宋体" w:cs="宋体"/>
          <w:b/>
          <w:color w:val="000000" w:themeColor="text1"/>
          <w:kern w:val="0"/>
          <w:sz w:val="24"/>
          <w:szCs w:val="24"/>
        </w:rPr>
        <w:t>第四条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成果奖励限于泰州学院为成果独立完成单位或第一完成单位。</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第五条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多人合作取得的成果，奖励发给成果第一完成人、基地负责人、项目主持人，由成果第一完成人、基地负责人或项目主持人根据贡献大小进行分配。</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第六条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申请奖励的论文必须是专业学术论文，并与本人所从事专业及岗位职责紧密相关。</w:t>
      </w:r>
    </w:p>
    <w:p>
      <w:pPr>
        <w:spacing w:line="360" w:lineRule="auto"/>
        <w:ind w:firstLine="482" w:firstLineChars="200"/>
        <w:rPr>
          <w:rFonts w:ascii="宋体" w:cs="宋体"/>
          <w:color w:val="000000" w:themeColor="text1"/>
          <w:kern w:val="0"/>
          <w:sz w:val="24"/>
          <w:szCs w:val="24"/>
        </w:rPr>
      </w:pPr>
      <w:r>
        <w:rPr>
          <w:rFonts w:hint="eastAsia" w:ascii="宋体" w:hAnsi="宋体" w:cs="宋体"/>
          <w:b/>
          <w:color w:val="000000" w:themeColor="text1"/>
          <w:kern w:val="0"/>
          <w:sz w:val="24"/>
          <w:szCs w:val="24"/>
        </w:rPr>
        <w:t>第七条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申请奖励的论文限发表于学术期刊正刊、中国知网等专业数据库能够检索的论文。在国外发表的论文，需有检索报告。</w:t>
      </w:r>
    </w:p>
    <w:p>
      <w:pPr>
        <w:spacing w:line="360" w:lineRule="auto"/>
        <w:ind w:firstLine="482" w:firstLineChars="200"/>
        <w:rPr>
          <w:rFonts w:ascii="宋体" w:cs="宋体"/>
          <w:color w:val="000000" w:themeColor="text1"/>
          <w:kern w:val="0"/>
          <w:sz w:val="24"/>
          <w:szCs w:val="24"/>
        </w:rPr>
      </w:pPr>
      <w:r>
        <w:rPr>
          <w:rFonts w:hint="eastAsia" w:ascii="宋体" w:hAnsi="宋体" w:cs="宋体"/>
          <w:b/>
          <w:color w:val="000000" w:themeColor="text1"/>
          <w:kern w:val="0"/>
          <w:sz w:val="24"/>
          <w:szCs w:val="24"/>
        </w:rPr>
        <w:t>第八条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申请奖励的论文字数一般须在</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字以上，不足</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字的论文奖励，须提交校学术委员会讨论。</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第九条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各奖项中有重复的条款，按最高奖励标准执行，不重复奖励。</w:t>
      </w:r>
    </w:p>
    <w:p>
      <w:pPr>
        <w:spacing w:line="360" w:lineRule="auto"/>
        <w:ind w:firstLine="482" w:firstLineChars="200"/>
        <w:rPr>
          <w:rFonts w:ascii="宋体" w:hAnsi="宋体" w:cs="宋体"/>
          <w:color w:val="000000" w:themeColor="text1"/>
          <w:kern w:val="0"/>
          <w:sz w:val="24"/>
          <w:szCs w:val="24"/>
        </w:rPr>
      </w:pPr>
      <w:r>
        <w:rPr>
          <w:rFonts w:hint="eastAsia" w:ascii="宋体" w:hAnsi="宋体" w:cs="宋体"/>
          <w:b/>
          <w:color w:val="000000" w:themeColor="text1"/>
          <w:kern w:val="0"/>
          <w:sz w:val="24"/>
          <w:szCs w:val="24"/>
        </w:rPr>
        <w:t>第十条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对弄虚作假、剽窃他人成果或由于作者原因造成重复发表的成果获得的奖励，一经查实，即撤销奖励并追回奖金，同时依据《泰州学院学术规范实施办法（试行）》作出相应处理。</w:t>
      </w:r>
      <w:r>
        <w:rPr>
          <w:rFonts w:ascii="宋体" w:hAnsi="宋体" w:cs="宋体"/>
          <w:color w:val="000000" w:themeColor="text1"/>
          <w:kern w:val="0"/>
          <w:sz w:val="24"/>
          <w:szCs w:val="24"/>
        </w:rPr>
        <w:t xml:space="preserve"> </w:t>
      </w:r>
    </w:p>
    <w:p>
      <w:pPr>
        <w:shd w:val="clear" w:color="auto" w:fill="FFFFFF"/>
        <w:spacing w:line="360" w:lineRule="auto"/>
        <w:jc w:val="center"/>
        <w:rPr>
          <w:rFonts w:ascii="黑体" w:hAnsi="黑体" w:eastAsia="黑体" w:cs="Arial"/>
          <w:b/>
          <w:color w:val="000000" w:themeColor="text1"/>
          <w:kern w:val="0"/>
          <w:sz w:val="28"/>
          <w:szCs w:val="28"/>
        </w:rPr>
      </w:pPr>
      <w:r>
        <w:rPr>
          <w:rFonts w:hint="eastAsia" w:ascii="黑体" w:hAnsi="黑体" w:eastAsia="黑体" w:cs="Arial"/>
          <w:b/>
          <w:color w:val="000000" w:themeColor="text1"/>
          <w:kern w:val="0"/>
          <w:sz w:val="28"/>
          <w:szCs w:val="28"/>
        </w:rPr>
        <w:t>第三章</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奖励标准</w:t>
      </w:r>
      <w:r>
        <w:rPr>
          <w:rFonts w:ascii="黑体" w:hAnsi="黑体" w:eastAsia="黑体" w:cs="Arial"/>
          <w:b/>
          <w:color w:val="000000" w:themeColor="text1"/>
          <w:kern w:val="0"/>
          <w:sz w:val="28"/>
          <w:szCs w:val="28"/>
        </w:rPr>
        <w:t xml:space="preserve"> </w:t>
      </w:r>
    </w:p>
    <w:p>
      <w:pPr>
        <w:spacing w:line="360" w:lineRule="auto"/>
        <w:ind w:firstLine="482" w:firstLineChars="200"/>
        <w:rPr>
          <w:rFonts w:ascii="宋体" w:hAnsi="宋体" w:cs="Arial"/>
          <w:color w:val="000000" w:themeColor="text1"/>
          <w:kern w:val="0"/>
          <w:sz w:val="24"/>
          <w:szCs w:val="24"/>
        </w:rPr>
      </w:pPr>
      <w:r>
        <w:rPr>
          <w:rFonts w:hint="eastAsia" w:ascii="宋体" w:hAnsi="宋体" w:cs="宋体"/>
          <w:b/>
          <w:color w:val="000000" w:themeColor="text1"/>
          <w:kern w:val="0"/>
          <w:sz w:val="24"/>
          <w:szCs w:val="24"/>
        </w:rPr>
        <w:t>第十一条</w:t>
      </w:r>
      <w:r>
        <w:rPr>
          <w:rFonts w:hint="eastAsia" w:ascii="仿宋_GB2312" w:hAnsi="仿宋" w:eastAsia="仿宋_GB2312"/>
          <w:sz w:val="28"/>
          <w:szCs w:val="28"/>
        </w:rPr>
        <w:t xml:space="preserve">  </w:t>
      </w:r>
      <w:r>
        <w:rPr>
          <w:rFonts w:hint="eastAsia" w:ascii="宋体" w:hAnsi="宋体" w:cs="Arial"/>
          <w:color w:val="000000" w:themeColor="text1"/>
          <w:kern w:val="0"/>
          <w:sz w:val="24"/>
          <w:szCs w:val="24"/>
        </w:rPr>
        <w:t>科研基地建设（含基地建设类项目）奖是指对我校作为立项建设的第一承担单位，获得市厅级以上科研基地建设（自筹经费项目除外）项目所实施的奖励，奖励范围和标准如下：</w:t>
      </w:r>
    </w:p>
    <w:tbl>
      <w:tblPr>
        <w:tblStyle w:val="13"/>
        <w:tblW w:w="7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8"/>
        <w:gridCol w:w="130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4598" w:type="dxa"/>
            <w:vMerge w:val="restart"/>
            <w:vAlign w:val="center"/>
          </w:tcPr>
          <w:p>
            <w:pPr>
              <w:spacing w:line="360" w:lineRule="auto"/>
              <w:ind w:firstLine="361" w:firstLineChars="150"/>
              <w:jc w:val="center"/>
              <w:rPr>
                <w:rFonts w:ascii="宋体" w:hAnsi="宋体" w:cs="Arial"/>
                <w:b/>
                <w:color w:val="000000" w:themeColor="text1"/>
                <w:kern w:val="0"/>
                <w:sz w:val="24"/>
                <w:szCs w:val="24"/>
              </w:rPr>
            </w:pPr>
            <w:r>
              <w:rPr>
                <w:rFonts w:ascii="宋体" w:hAnsi="宋体" w:cs="Arial"/>
                <w:b/>
                <w:color w:val="000000" w:themeColor="text1"/>
                <w:kern w:val="0"/>
                <w:sz w:val="24"/>
                <w:szCs w:val="24"/>
              </w:rPr>
              <w:t>科研基地</w:t>
            </w:r>
            <w:r>
              <w:rPr>
                <w:rFonts w:hint="eastAsia" w:ascii="宋体" w:hAnsi="宋体" w:cs="Arial"/>
                <w:b/>
                <w:color w:val="000000" w:themeColor="text1"/>
                <w:kern w:val="0"/>
                <w:sz w:val="24"/>
                <w:szCs w:val="24"/>
              </w:rPr>
              <w:t>级别</w:t>
            </w:r>
          </w:p>
        </w:tc>
        <w:tc>
          <w:tcPr>
            <w:tcW w:w="3290" w:type="dxa"/>
            <w:gridSpan w:val="2"/>
          </w:tcPr>
          <w:p>
            <w:pPr>
              <w:spacing w:line="360" w:lineRule="auto"/>
              <w:ind w:firstLine="361" w:firstLineChars="150"/>
              <w:rPr>
                <w:rFonts w:ascii="宋体" w:hAnsi="宋体" w:cs="Arial"/>
                <w:b/>
                <w:color w:val="000000" w:themeColor="text1"/>
                <w:kern w:val="0"/>
                <w:sz w:val="24"/>
                <w:szCs w:val="24"/>
              </w:rPr>
            </w:pPr>
            <w:r>
              <w:rPr>
                <w:rFonts w:ascii="宋体" w:hAnsi="宋体" w:cs="Arial"/>
                <w:b/>
                <w:color w:val="000000" w:themeColor="text1"/>
                <w:kern w:val="0"/>
                <w:sz w:val="24"/>
                <w:szCs w:val="24"/>
              </w:rPr>
              <w:t>奖励金额（万元/个）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Merge w:val="continue"/>
            <w:vAlign w:val="center"/>
          </w:tcPr>
          <w:p>
            <w:pPr>
              <w:spacing w:line="360" w:lineRule="auto"/>
              <w:ind w:firstLine="361" w:firstLineChars="150"/>
              <w:rPr>
                <w:rFonts w:ascii="宋体" w:hAnsi="宋体" w:cs="Arial"/>
                <w:b/>
                <w:color w:val="000000" w:themeColor="text1"/>
                <w:kern w:val="0"/>
                <w:sz w:val="24"/>
                <w:szCs w:val="24"/>
              </w:rPr>
            </w:pPr>
          </w:p>
        </w:tc>
        <w:tc>
          <w:tcPr>
            <w:tcW w:w="1305" w:type="dxa"/>
            <w:vAlign w:val="center"/>
          </w:tcPr>
          <w:p>
            <w:pPr>
              <w:spacing w:line="360" w:lineRule="auto"/>
              <w:rPr>
                <w:rFonts w:ascii="宋体" w:hAnsi="宋体" w:cs="Arial"/>
                <w:b/>
                <w:color w:val="000000" w:themeColor="text1"/>
                <w:kern w:val="0"/>
                <w:sz w:val="24"/>
                <w:szCs w:val="24"/>
              </w:rPr>
            </w:pPr>
            <w:r>
              <w:rPr>
                <w:rFonts w:ascii="宋体" w:hAnsi="宋体" w:cs="Arial"/>
                <w:b/>
                <w:color w:val="000000" w:themeColor="text1"/>
                <w:kern w:val="0"/>
                <w:sz w:val="24"/>
                <w:szCs w:val="24"/>
              </w:rPr>
              <w:t>项目立项</w:t>
            </w:r>
          </w:p>
        </w:tc>
        <w:tc>
          <w:tcPr>
            <w:tcW w:w="1985" w:type="dxa"/>
            <w:vAlign w:val="center"/>
          </w:tcPr>
          <w:p>
            <w:pPr>
              <w:spacing w:line="360" w:lineRule="auto"/>
              <w:rPr>
                <w:rFonts w:ascii="宋体" w:hAnsi="宋体" w:cs="Arial"/>
                <w:b/>
                <w:color w:val="000000" w:themeColor="text1"/>
                <w:kern w:val="0"/>
                <w:sz w:val="24"/>
                <w:szCs w:val="24"/>
              </w:rPr>
            </w:pPr>
            <w:r>
              <w:rPr>
                <w:rFonts w:ascii="宋体" w:hAnsi="宋体" w:cs="Arial"/>
                <w:b/>
                <w:color w:val="000000" w:themeColor="text1"/>
                <w:kern w:val="0"/>
                <w:sz w:val="24"/>
                <w:szCs w:val="24"/>
              </w:rPr>
              <w:t>项目通过验收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2"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成功申报研究生硕士学位点</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30</w:t>
            </w:r>
          </w:p>
        </w:tc>
        <w:tc>
          <w:tcPr>
            <w:tcW w:w="1985" w:type="dxa"/>
            <w:vAlign w:val="center"/>
          </w:tcPr>
          <w:p>
            <w:pPr>
              <w:spacing w:line="360" w:lineRule="auto"/>
              <w:jc w:val="center"/>
              <w:rPr>
                <w:rFonts w:ascii="宋体" w:hAnsi="宋体" w:cs="Arial"/>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ascii="宋体" w:hAnsi="宋体" w:cs="Arial"/>
                <w:color w:val="000000" w:themeColor="text1"/>
                <w:kern w:val="0"/>
                <w:sz w:val="24"/>
                <w:szCs w:val="24"/>
              </w:rPr>
              <w:t>国家级</w:t>
            </w:r>
            <w:r>
              <w:rPr>
                <w:rFonts w:hint="eastAsia" w:ascii="宋体" w:hAnsi="宋体" w:cs="Arial"/>
                <w:color w:val="000000" w:themeColor="text1"/>
                <w:kern w:val="0"/>
                <w:sz w:val="24"/>
                <w:szCs w:val="24"/>
              </w:rPr>
              <w:t>科技创新团队及各类</w:t>
            </w:r>
            <w:r>
              <w:rPr>
                <w:rFonts w:ascii="宋体" w:hAnsi="宋体" w:cs="Arial"/>
                <w:color w:val="000000" w:themeColor="text1"/>
                <w:kern w:val="0"/>
                <w:sz w:val="24"/>
                <w:szCs w:val="24"/>
              </w:rPr>
              <w:t>科研基地</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20</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省优势学科，</w:t>
            </w:r>
            <w:r>
              <w:rPr>
                <w:rFonts w:ascii="宋体" w:hAnsi="宋体" w:cs="Arial"/>
                <w:color w:val="000000" w:themeColor="text1"/>
                <w:kern w:val="0"/>
                <w:sz w:val="24"/>
                <w:szCs w:val="24"/>
              </w:rPr>
              <w:t>省（部）级重大研发机构（研究院）</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15</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省级协同创新中心，省重点学科、</w:t>
            </w:r>
            <w:r>
              <w:rPr>
                <w:rFonts w:ascii="宋体" w:hAnsi="宋体" w:cs="Arial"/>
                <w:color w:val="000000" w:themeColor="text1"/>
                <w:kern w:val="0"/>
                <w:sz w:val="24"/>
                <w:szCs w:val="24"/>
              </w:rPr>
              <w:t>省（部）级重点实验室</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10</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省重点建设学科，</w:t>
            </w:r>
            <w:r>
              <w:rPr>
                <w:rFonts w:ascii="宋体" w:hAnsi="宋体" w:cs="Arial"/>
                <w:color w:val="000000" w:themeColor="text1"/>
                <w:kern w:val="0"/>
                <w:sz w:val="24"/>
                <w:szCs w:val="24"/>
              </w:rPr>
              <w:t>省（部）级重点实验室</w:t>
            </w:r>
            <w:r>
              <w:rPr>
                <w:rFonts w:hint="eastAsia" w:ascii="宋体" w:hAnsi="宋体" w:cs="Arial"/>
                <w:color w:val="000000" w:themeColor="text1"/>
                <w:kern w:val="0"/>
                <w:sz w:val="24"/>
                <w:szCs w:val="24"/>
              </w:rPr>
              <w:t>，省科技创新团队，</w:t>
            </w:r>
            <w:r>
              <w:rPr>
                <w:rFonts w:ascii="宋体" w:hAnsi="宋体" w:cs="Arial"/>
                <w:color w:val="000000" w:themeColor="text1"/>
                <w:kern w:val="0"/>
                <w:sz w:val="24"/>
                <w:szCs w:val="24"/>
              </w:rPr>
              <w:t>省（部）级工程技术中心、研发中心、</w:t>
            </w:r>
            <w:r>
              <w:rPr>
                <w:rFonts w:hint="eastAsia" w:ascii="宋体" w:hAnsi="宋体" w:cs="Arial"/>
                <w:color w:val="000000" w:themeColor="text1"/>
                <w:kern w:val="0"/>
                <w:sz w:val="24"/>
                <w:szCs w:val="24"/>
              </w:rPr>
              <w:t>人文社科基地（省委宣传部、省规划办）</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8</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ascii="宋体" w:hAnsi="宋体" w:cs="Arial"/>
                <w:color w:val="000000" w:themeColor="text1"/>
                <w:kern w:val="0"/>
                <w:sz w:val="24"/>
                <w:szCs w:val="24"/>
              </w:rPr>
              <w:t>省（部）级重点建设实验室</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7</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国家重点实验室培育建设点、省高校重点实验室</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5</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ascii="宋体" w:hAnsi="宋体" w:cs="Arial"/>
                <w:color w:val="000000" w:themeColor="text1"/>
                <w:kern w:val="0"/>
                <w:sz w:val="24"/>
                <w:szCs w:val="24"/>
              </w:rPr>
              <w:t>省</w:t>
            </w:r>
            <w:r>
              <w:rPr>
                <w:rFonts w:hint="eastAsia" w:ascii="宋体" w:hAnsi="宋体" w:cs="Arial"/>
                <w:color w:val="000000" w:themeColor="text1"/>
                <w:kern w:val="0"/>
                <w:sz w:val="24"/>
                <w:szCs w:val="24"/>
              </w:rPr>
              <w:t>高校</w:t>
            </w:r>
            <w:r>
              <w:rPr>
                <w:rFonts w:ascii="宋体" w:hAnsi="宋体" w:cs="Arial"/>
                <w:color w:val="000000" w:themeColor="text1"/>
                <w:kern w:val="0"/>
                <w:sz w:val="24"/>
                <w:szCs w:val="24"/>
              </w:rPr>
              <w:t>重点</w:t>
            </w:r>
            <w:r>
              <w:rPr>
                <w:rFonts w:hint="eastAsia" w:ascii="宋体" w:hAnsi="宋体" w:cs="Arial"/>
                <w:color w:val="000000" w:themeColor="text1"/>
                <w:kern w:val="0"/>
                <w:sz w:val="24"/>
                <w:szCs w:val="24"/>
              </w:rPr>
              <w:t>建设</w:t>
            </w:r>
            <w:r>
              <w:rPr>
                <w:rFonts w:ascii="宋体" w:hAnsi="宋体" w:cs="Arial"/>
                <w:color w:val="000000" w:themeColor="text1"/>
                <w:kern w:val="0"/>
                <w:sz w:val="24"/>
                <w:szCs w:val="24"/>
              </w:rPr>
              <w:t>实验室</w:t>
            </w:r>
            <w:r>
              <w:rPr>
                <w:rFonts w:hint="eastAsia" w:ascii="宋体" w:hAnsi="宋体" w:cs="Arial"/>
                <w:color w:val="000000" w:themeColor="text1"/>
                <w:kern w:val="0"/>
                <w:sz w:val="24"/>
                <w:szCs w:val="24"/>
              </w:rPr>
              <w:t>、省高校人文社科基地</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3</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与其他高校建立关系稳定、运行良好的联合培养研究生点</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5</w:t>
            </w:r>
          </w:p>
        </w:tc>
        <w:tc>
          <w:tcPr>
            <w:tcW w:w="1985" w:type="dxa"/>
            <w:vAlign w:val="center"/>
          </w:tcPr>
          <w:p>
            <w:pPr>
              <w:spacing w:line="360" w:lineRule="auto"/>
              <w:jc w:val="center"/>
              <w:rPr>
                <w:rFonts w:ascii="宋体" w:hAnsi="宋体" w:cs="Arial"/>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市</w:t>
            </w:r>
            <w:r>
              <w:rPr>
                <w:rFonts w:ascii="宋体" w:hAnsi="宋体" w:cs="Arial"/>
                <w:color w:val="000000" w:themeColor="text1"/>
                <w:kern w:val="0"/>
                <w:sz w:val="24"/>
                <w:szCs w:val="24"/>
              </w:rPr>
              <w:t>级重大研发机构（研究院）</w:t>
            </w:r>
          </w:p>
        </w:tc>
        <w:tc>
          <w:tcPr>
            <w:tcW w:w="130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2</w:t>
            </w: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市级重点实验室、工程中心，市厅级社科基地</w:t>
            </w:r>
          </w:p>
        </w:tc>
        <w:tc>
          <w:tcPr>
            <w:tcW w:w="1305"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p>
        </w:tc>
        <w:tc>
          <w:tcPr>
            <w:tcW w:w="1985"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jc w:val="center"/>
        </w:trPr>
        <w:tc>
          <w:tcPr>
            <w:tcW w:w="4598" w:type="dxa"/>
            <w:vAlign w:val="center"/>
          </w:tcPr>
          <w:p>
            <w:pPr>
              <w:spacing w:line="360" w:lineRule="auto"/>
              <w:ind w:firstLine="360" w:firstLineChars="150"/>
              <w:rPr>
                <w:rFonts w:ascii="宋体" w:hAnsi="宋体" w:cs="Arial"/>
                <w:color w:val="000000" w:themeColor="text1"/>
                <w:kern w:val="0"/>
                <w:sz w:val="24"/>
                <w:szCs w:val="24"/>
              </w:rPr>
            </w:pPr>
            <w:r>
              <w:rPr>
                <w:rFonts w:hint="eastAsia" w:ascii="宋体" w:hAnsi="宋体" w:cs="Arial"/>
                <w:color w:val="000000" w:themeColor="text1"/>
                <w:kern w:val="0"/>
                <w:sz w:val="24"/>
                <w:szCs w:val="24"/>
              </w:rPr>
              <w:t>校级学科平台</w:t>
            </w:r>
          </w:p>
        </w:tc>
        <w:tc>
          <w:tcPr>
            <w:tcW w:w="1305" w:type="dxa"/>
            <w:vAlign w:val="center"/>
          </w:tcPr>
          <w:p>
            <w:pPr>
              <w:spacing w:line="360" w:lineRule="auto"/>
              <w:jc w:val="center"/>
              <w:rPr>
                <w:rFonts w:ascii="宋体" w:hAnsi="宋体" w:cs="Arial"/>
                <w:color w:val="000000" w:themeColor="text1"/>
                <w:kern w:val="0"/>
                <w:sz w:val="24"/>
                <w:szCs w:val="24"/>
              </w:rPr>
            </w:pPr>
          </w:p>
        </w:tc>
        <w:tc>
          <w:tcPr>
            <w:tcW w:w="1985"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2</w:t>
            </w:r>
          </w:p>
        </w:tc>
      </w:tr>
    </w:tbl>
    <w:p>
      <w:pPr>
        <w:adjustRightInd w:val="0"/>
        <w:snapToGrid w:val="0"/>
        <w:spacing w:line="360" w:lineRule="auto"/>
        <w:ind w:firstLine="422" w:firstLineChars="200"/>
        <w:rPr>
          <w:rFonts w:ascii="仿宋_GB2312" w:hAnsi="宋体" w:eastAsia="仿宋_GB2312" w:cs="Arial"/>
          <w:color w:val="000000" w:themeColor="text1"/>
          <w:kern w:val="0"/>
          <w:szCs w:val="21"/>
        </w:rPr>
      </w:pPr>
      <w:r>
        <w:rPr>
          <w:rFonts w:hint="eastAsia" w:ascii="仿宋_GB2312" w:hAnsi="宋体" w:eastAsia="仿宋_GB2312" w:cs="Arial"/>
          <w:b/>
          <w:color w:val="000000" w:themeColor="text1"/>
          <w:kern w:val="0"/>
          <w:szCs w:val="21"/>
        </w:rPr>
        <w:t>说明：</w:t>
      </w:r>
      <w:r>
        <w:rPr>
          <w:rFonts w:hint="eastAsia" w:ascii="仿宋_GB2312" w:hAnsi="宋体" w:eastAsia="仿宋_GB2312" w:cs="Arial"/>
          <w:color w:val="000000" w:themeColor="text1"/>
          <w:kern w:val="0"/>
          <w:szCs w:val="21"/>
        </w:rPr>
        <w:t>我校作为第二单位与外单位联合申报的省部级及以上科研基地，按</w:t>
      </w:r>
      <w:r>
        <w:rPr>
          <w:rFonts w:ascii="仿宋_GB2312" w:hAnsi="宋体" w:eastAsia="仿宋_GB2312" w:cs="Arial"/>
          <w:color w:val="000000" w:themeColor="text1"/>
          <w:kern w:val="0"/>
          <w:szCs w:val="21"/>
        </w:rPr>
        <w:t>50%予以奖励。各类</w:t>
      </w:r>
      <w:r>
        <w:rPr>
          <w:rFonts w:hint="eastAsia" w:ascii="仿宋_GB2312" w:hAnsi="宋体" w:eastAsia="仿宋_GB2312" w:cs="Arial"/>
          <w:color w:val="000000" w:themeColor="text1"/>
          <w:kern w:val="0"/>
          <w:szCs w:val="21"/>
        </w:rPr>
        <w:t>科研基地奖励的总金额上限（项目立项奖励和项目通过验收奖励之和）不能高于该基地获批到账经费的总额。关系稳定、运行良好的联合培养研究生点是指：（1）与联合培养学校签有合作协议；（2）每年在该点实际指导学生的我校导师数不少于3人；（3）我校教师每年在该点指导的研究生人数不少于3人；（4）联合培养协议时间不少于5年。</w:t>
      </w:r>
    </w:p>
    <w:p>
      <w:pPr>
        <w:adjustRightInd w:val="0"/>
        <w:snapToGrid w:val="0"/>
        <w:spacing w:line="360" w:lineRule="auto"/>
        <w:ind w:firstLine="482" w:firstLineChars="200"/>
        <w:rPr>
          <w:rFonts w:ascii="宋体"/>
          <w:color w:val="000000" w:themeColor="text1"/>
          <w:sz w:val="24"/>
          <w:szCs w:val="24"/>
        </w:rPr>
      </w:pPr>
      <w:r>
        <w:rPr>
          <w:rFonts w:hint="eastAsia" w:ascii="宋体" w:hAnsi="宋体" w:cs="宋体"/>
          <w:b/>
          <w:color w:val="000000" w:themeColor="text1"/>
          <w:kern w:val="0"/>
          <w:sz w:val="24"/>
          <w:szCs w:val="24"/>
        </w:rPr>
        <w:t>第十二条</w:t>
      </w:r>
      <w:r>
        <w:rPr>
          <w:rFonts w:hint="eastAsia" w:ascii="宋体" w:hAnsi="宋体"/>
          <w:color w:val="000000" w:themeColor="text1"/>
          <w:sz w:val="24"/>
          <w:szCs w:val="24"/>
        </w:rPr>
        <w:t>　</w:t>
      </w:r>
      <w:r>
        <w:rPr>
          <w:rFonts w:hint="eastAsia" w:ascii="宋体" w:hAnsi="宋体" w:cs="Arial"/>
          <w:color w:val="000000" w:themeColor="text1"/>
          <w:kern w:val="0"/>
          <w:sz w:val="24"/>
          <w:szCs w:val="24"/>
        </w:rPr>
        <w:t>关于科研项目奖励：</w:t>
      </w:r>
    </w:p>
    <w:p>
      <w:pPr>
        <w:adjustRightInd w:val="0"/>
        <w:snapToGrid w:val="0"/>
        <w:spacing w:line="360" w:lineRule="auto"/>
        <w:ind w:firstLine="480" w:firstLineChars="200"/>
        <w:rPr>
          <w:rFonts w:ascii="宋体"/>
          <w:color w:val="000000" w:themeColor="text1"/>
          <w:sz w:val="24"/>
          <w:szCs w:val="24"/>
        </w:rPr>
      </w:pPr>
      <w:r>
        <w:rPr>
          <w:rFonts w:hint="eastAsia" w:ascii="宋体" w:hAnsi="宋体"/>
          <w:color w:val="000000" w:themeColor="text1"/>
          <w:sz w:val="24"/>
          <w:szCs w:val="24"/>
        </w:rPr>
        <w:t>（</w:t>
      </w:r>
      <w:r>
        <w:rPr>
          <w:rFonts w:hint="eastAsia" w:ascii="宋体" w:hAnsi="宋体" w:cs="Arial"/>
          <w:color w:val="000000" w:themeColor="text1"/>
          <w:kern w:val="0"/>
          <w:sz w:val="24"/>
          <w:szCs w:val="24"/>
        </w:rPr>
        <w:t>一）纵向科研项目奖励（立项奖励和结题奖励，各占奖励经费的</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）是对我校作为项目立项及结题第一承担单位，获得市厅级以上科研项目课题组实施的奖励，奖励范围和标准如下：</w:t>
      </w:r>
    </w:p>
    <w:tbl>
      <w:tblPr>
        <w:tblStyle w:val="13"/>
        <w:tblW w:w="8553" w:type="dxa"/>
        <w:jc w:val="center"/>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1"/>
        <w:gridCol w:w="2386"/>
        <w:gridCol w:w="2795"/>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761"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项目类别</w:t>
            </w:r>
          </w:p>
        </w:tc>
        <w:tc>
          <w:tcPr>
            <w:tcW w:w="2386" w:type="dxa"/>
            <w:vAlign w:val="center"/>
          </w:tcPr>
          <w:p>
            <w:pPr>
              <w:spacing w:line="360" w:lineRule="auto"/>
              <w:ind w:firstLine="361" w:firstLineChars="150"/>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国家级项目</w:t>
            </w:r>
          </w:p>
        </w:tc>
        <w:tc>
          <w:tcPr>
            <w:tcW w:w="2795" w:type="dxa"/>
            <w:vAlign w:val="center"/>
          </w:tcPr>
          <w:p>
            <w:pPr>
              <w:spacing w:line="360" w:lineRule="auto"/>
              <w:ind w:firstLine="120" w:firstLineChars="50"/>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省部级项目</w:t>
            </w:r>
          </w:p>
        </w:tc>
        <w:tc>
          <w:tcPr>
            <w:tcW w:w="1611"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市厅级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jc w:val="center"/>
        </w:trPr>
        <w:tc>
          <w:tcPr>
            <w:tcW w:w="1761" w:type="dxa"/>
            <w:vAlign w:val="center"/>
          </w:tcPr>
          <w:p>
            <w:pPr>
              <w:adjustRightInd w:val="0"/>
              <w:snapToGrid w:val="0"/>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奖励标准</w:t>
            </w:r>
          </w:p>
        </w:tc>
        <w:tc>
          <w:tcPr>
            <w:tcW w:w="2386" w:type="dxa"/>
            <w:vAlign w:val="center"/>
          </w:tcPr>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按下拨经费的</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奖励，并设立如下上限：重大项目</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万元，重点项目：</w:t>
            </w:r>
            <w:r>
              <w:rPr>
                <w:rFonts w:ascii="宋体" w:hAnsi="宋体" w:cs="Arial"/>
                <w:color w:val="000000" w:themeColor="text1"/>
                <w:kern w:val="0"/>
                <w:sz w:val="24"/>
                <w:szCs w:val="24"/>
              </w:rPr>
              <w:t>30</w:t>
            </w:r>
            <w:r>
              <w:rPr>
                <w:rFonts w:hint="eastAsia" w:ascii="宋体" w:hAnsi="宋体" w:cs="Arial"/>
                <w:color w:val="000000" w:themeColor="text1"/>
                <w:kern w:val="0"/>
                <w:sz w:val="24"/>
                <w:szCs w:val="24"/>
              </w:rPr>
              <w:t>万元；一般项目：</w:t>
            </w:r>
            <w:r>
              <w:rPr>
                <w:rFonts w:ascii="宋体" w:hAnsi="宋体" w:cs="Arial"/>
                <w:color w:val="000000" w:themeColor="text1"/>
                <w:kern w:val="0"/>
                <w:sz w:val="24"/>
                <w:szCs w:val="24"/>
              </w:rPr>
              <w:t>20</w:t>
            </w:r>
            <w:r>
              <w:rPr>
                <w:rFonts w:hint="eastAsia" w:ascii="宋体" w:hAnsi="宋体" w:cs="Arial"/>
                <w:color w:val="000000" w:themeColor="text1"/>
                <w:kern w:val="0"/>
                <w:sz w:val="24"/>
                <w:szCs w:val="24"/>
              </w:rPr>
              <w:t>万元</w:t>
            </w:r>
          </w:p>
        </w:tc>
        <w:tc>
          <w:tcPr>
            <w:tcW w:w="2795" w:type="dxa"/>
            <w:vAlign w:val="center"/>
          </w:tcPr>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按下拨经费的</w:t>
            </w:r>
            <w:r>
              <w:rPr>
                <w:rFonts w:ascii="宋体" w:hAnsi="宋体" w:cs="Arial"/>
                <w:color w:val="000000" w:themeColor="text1"/>
                <w:kern w:val="0"/>
                <w:sz w:val="24"/>
                <w:szCs w:val="24"/>
              </w:rPr>
              <w:t>30%</w:t>
            </w:r>
            <w:r>
              <w:rPr>
                <w:rFonts w:hint="eastAsia" w:ascii="宋体" w:hAnsi="宋体" w:cs="Arial"/>
                <w:color w:val="000000" w:themeColor="text1"/>
                <w:kern w:val="0"/>
                <w:sz w:val="24"/>
                <w:szCs w:val="24"/>
              </w:rPr>
              <w:t>奖励；并设立如下上限：重大项目</w:t>
            </w:r>
            <w:r>
              <w:rPr>
                <w:rFonts w:ascii="宋体" w:hAnsi="宋体" w:cs="Arial"/>
                <w:color w:val="000000" w:themeColor="text1"/>
                <w:kern w:val="0"/>
                <w:sz w:val="24"/>
                <w:szCs w:val="24"/>
              </w:rPr>
              <w:t>20</w:t>
            </w:r>
            <w:r>
              <w:rPr>
                <w:rFonts w:hint="eastAsia" w:ascii="宋体" w:hAnsi="宋体" w:cs="Arial"/>
                <w:color w:val="000000" w:themeColor="text1"/>
                <w:kern w:val="0"/>
                <w:sz w:val="24"/>
                <w:szCs w:val="24"/>
              </w:rPr>
              <w:t>万元，重点项目：</w:t>
            </w:r>
            <w:r>
              <w:rPr>
                <w:rFonts w:ascii="宋体" w:hAnsi="宋体" w:cs="Arial"/>
                <w:color w:val="000000" w:themeColor="text1"/>
                <w:kern w:val="0"/>
                <w:sz w:val="24"/>
                <w:szCs w:val="24"/>
              </w:rPr>
              <w:t>15</w:t>
            </w:r>
            <w:r>
              <w:rPr>
                <w:rFonts w:hint="eastAsia" w:ascii="宋体" w:hAnsi="宋体" w:cs="Arial"/>
                <w:color w:val="000000" w:themeColor="text1"/>
                <w:kern w:val="0"/>
                <w:sz w:val="24"/>
                <w:szCs w:val="24"/>
              </w:rPr>
              <w:t>万元；一般项目：</w:t>
            </w:r>
            <w:r>
              <w:rPr>
                <w:rFonts w:ascii="宋体" w:hAnsi="宋体" w:cs="Arial"/>
                <w:color w:val="000000" w:themeColor="text1"/>
                <w:kern w:val="0"/>
                <w:sz w:val="24"/>
                <w:szCs w:val="24"/>
              </w:rPr>
              <w:t>10</w:t>
            </w:r>
            <w:r>
              <w:rPr>
                <w:rFonts w:hint="eastAsia" w:ascii="宋体" w:hAnsi="宋体" w:cs="Arial"/>
                <w:color w:val="000000" w:themeColor="text1"/>
                <w:kern w:val="0"/>
                <w:sz w:val="24"/>
                <w:szCs w:val="24"/>
              </w:rPr>
              <w:t>万元</w:t>
            </w:r>
          </w:p>
        </w:tc>
        <w:tc>
          <w:tcPr>
            <w:tcW w:w="1611" w:type="dxa"/>
            <w:vAlign w:val="center"/>
          </w:tcPr>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按下拨经费的</w:t>
            </w:r>
            <w:r>
              <w:rPr>
                <w:rFonts w:ascii="宋体" w:hAnsi="宋体" w:cs="Arial"/>
                <w:color w:val="000000" w:themeColor="text1"/>
                <w:kern w:val="0"/>
                <w:sz w:val="24"/>
                <w:szCs w:val="24"/>
              </w:rPr>
              <w:t>15%</w:t>
            </w:r>
            <w:r>
              <w:rPr>
                <w:rFonts w:hint="eastAsia" w:ascii="宋体" w:hAnsi="宋体" w:cs="Arial"/>
                <w:color w:val="000000" w:themeColor="text1"/>
                <w:kern w:val="0"/>
                <w:sz w:val="24"/>
                <w:szCs w:val="24"/>
              </w:rPr>
              <w:t>奖励，上限为</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万元</w:t>
            </w:r>
          </w:p>
        </w:tc>
      </w:tr>
    </w:tbl>
    <w:p>
      <w:pPr>
        <w:adjustRightInd w:val="0"/>
        <w:snapToGrid w:val="0"/>
        <w:spacing w:beforeLines="50" w:line="360" w:lineRule="auto"/>
        <w:ind w:firstLine="422" w:firstLineChars="200"/>
        <w:rPr>
          <w:rFonts w:ascii="仿宋_GB2312" w:hAnsi="宋体" w:eastAsia="仿宋_GB2312" w:cs="Arial"/>
          <w:color w:val="000000" w:themeColor="text1"/>
          <w:kern w:val="0"/>
          <w:szCs w:val="21"/>
        </w:rPr>
      </w:pPr>
      <w:r>
        <w:rPr>
          <w:rFonts w:hint="eastAsia" w:ascii="仿宋_GB2312" w:hAnsi="宋体" w:eastAsia="仿宋_GB2312" w:cs="Arial"/>
          <w:b/>
          <w:color w:val="000000" w:themeColor="text1"/>
          <w:kern w:val="0"/>
          <w:szCs w:val="21"/>
        </w:rPr>
        <w:t>说明：</w:t>
      </w:r>
      <w:r>
        <w:rPr>
          <w:rFonts w:hint="eastAsia" w:ascii="仿宋_GB2312" w:hAnsi="宋体" w:eastAsia="仿宋_GB2312" w:cs="Arial"/>
          <w:color w:val="000000" w:themeColor="text1"/>
          <w:kern w:val="0"/>
          <w:szCs w:val="21"/>
        </w:rPr>
        <w:t>①国家级重大项目指国家重点研发计划项目、国家自然科学基金重大项目、国家社会科学基金重大招标项目。②国家级重点项目指国家自然科学基金重点项目、国家杰出青年科学基金项目、国家社会科学基金重点项目。③国家级一般项目指国家自然科学基金面上项目、青年基金项目；国家社会科学基金一般项目、青年项目，国家社科教育、艺术规划项目，科技部资助的其他类项目。④省部级重大项目指教育部哲学社会科学研究重大课题攻关项目、省科技支撑项目（不包括产学研创新基金补助类项目）。⑤省部级一般项目指教育部人文社会科学规划项目、青年项目、专项任务，省基金面上项目、青年基金项目、软课题研究项目、国际科技合作计划项目，省哲学社会科学规划项目，国家各部委下达的计划类项目（有经费资助的项目）。⑥市厅级重点项目指省厅级单位下达的重点计划项目、地级市科技局下达的科技支撑类重点项目、地级市社会科学类重点项目。⑦对于国家级、省部级项目，我校作为项目第二参加单位的，按汇入我校到帐经费</w:t>
      </w:r>
      <w:r>
        <w:rPr>
          <w:rFonts w:ascii="仿宋_GB2312" w:hAnsi="宋体" w:eastAsia="仿宋_GB2312" w:cs="Arial"/>
          <w:color w:val="000000" w:themeColor="text1"/>
          <w:kern w:val="0"/>
          <w:szCs w:val="21"/>
        </w:rPr>
        <w:t>10%</w:t>
      </w:r>
      <w:r>
        <w:rPr>
          <w:rFonts w:hint="eastAsia" w:ascii="仿宋_GB2312" w:hAnsi="宋体" w:eastAsia="仿宋_GB2312" w:cs="Arial"/>
          <w:color w:val="000000" w:themeColor="text1"/>
          <w:kern w:val="0"/>
          <w:szCs w:val="21"/>
        </w:rPr>
        <w:t>进行奖励，单个项目最高奖励限额为</w:t>
      </w:r>
      <w:r>
        <w:rPr>
          <w:rFonts w:ascii="仿宋_GB2312" w:hAnsi="宋体" w:eastAsia="仿宋_GB2312" w:cs="Arial"/>
          <w:color w:val="000000" w:themeColor="text1"/>
          <w:kern w:val="0"/>
          <w:szCs w:val="21"/>
        </w:rPr>
        <w:t>5</w:t>
      </w:r>
      <w:r>
        <w:rPr>
          <w:rFonts w:hint="eastAsia" w:ascii="仿宋_GB2312" w:hAnsi="宋体" w:eastAsia="仿宋_GB2312" w:cs="Arial"/>
          <w:color w:val="000000" w:themeColor="text1"/>
          <w:kern w:val="0"/>
          <w:szCs w:val="21"/>
        </w:rPr>
        <w:t>万元。我校作为项目第三参加单位的不予奖励。⑧下拨经费是指实际到我校科研经费帐户的经费，如有经费转出，按转出后的剩余经费计算。</w:t>
      </w:r>
    </w:p>
    <w:p>
      <w:pPr>
        <w:adjustRightInd w:val="0"/>
        <w:snapToGrid w:val="0"/>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（二）学校对完成横向课题目标任务教学科研单位或个人进行奖励。学校对完成全年横向课题目标任务的教学科研单位给予到账经费总额的</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奖励。横向课题结项后，按以下标准给予奖励：</w:t>
      </w:r>
    </w:p>
    <w:p>
      <w:pPr>
        <w:spacing w:line="360" w:lineRule="auto"/>
        <w:ind w:firstLine="470" w:firstLineChars="196"/>
        <w:rPr>
          <w:rFonts w:ascii="宋体" w:cs="Arial"/>
          <w:color w:val="000000" w:themeColor="text1"/>
          <w:kern w:val="0"/>
          <w:sz w:val="24"/>
          <w:szCs w:val="24"/>
        </w:rPr>
      </w:pPr>
      <w:r>
        <w:rPr>
          <w:rFonts w:ascii="宋体" w:hAnsi="宋体" w:cs="Arial"/>
          <w:color w:val="000000" w:themeColor="text1"/>
          <w:kern w:val="0"/>
          <w:sz w:val="24"/>
          <w:szCs w:val="24"/>
        </w:rPr>
        <w:t xml:space="preserve">1. </w:t>
      </w:r>
      <w:r>
        <w:rPr>
          <w:rFonts w:hint="eastAsia" w:ascii="宋体" w:hAnsi="宋体" w:cs="Arial"/>
          <w:color w:val="000000" w:themeColor="text1"/>
          <w:kern w:val="0"/>
          <w:sz w:val="24"/>
          <w:szCs w:val="24"/>
        </w:rPr>
        <w:t>文科：按单个项目到账经费（</w:t>
      </w:r>
      <w:r>
        <w:rPr>
          <w:rFonts w:ascii="宋体" w:hAnsi="宋体" w:cs="Arial"/>
          <w:color w:val="000000" w:themeColor="text1"/>
          <w:kern w:val="0"/>
          <w:sz w:val="24"/>
          <w:szCs w:val="24"/>
        </w:rPr>
        <w:t>X</w:t>
      </w:r>
      <w:r>
        <w:rPr>
          <w:rFonts w:hint="eastAsia" w:ascii="宋体" w:hAnsi="宋体" w:cs="Arial"/>
          <w:color w:val="000000" w:themeColor="text1"/>
          <w:kern w:val="0"/>
          <w:sz w:val="24"/>
          <w:szCs w:val="24"/>
        </w:rPr>
        <w:t>万元）的（</w:t>
      </w:r>
      <w:r>
        <w:rPr>
          <w:rFonts w:ascii="宋体" w:hAnsi="宋体" w:cs="Arial"/>
          <w:color w:val="000000" w:themeColor="text1"/>
          <w:kern w:val="0"/>
          <w:sz w:val="24"/>
          <w:szCs w:val="24"/>
        </w:rPr>
        <w:t>X</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万元）÷</w:t>
      </w:r>
      <w:r>
        <w:rPr>
          <w:rFonts w:ascii="宋体" w:hAnsi="宋体" w:cs="Arial"/>
          <w:color w:val="000000" w:themeColor="text1"/>
          <w:kern w:val="0"/>
          <w:sz w:val="24"/>
          <w:szCs w:val="24"/>
        </w:rPr>
        <w:t>10</w:t>
      </w:r>
      <w:r>
        <w:rPr>
          <w:rFonts w:hint="eastAsia" w:ascii="宋体" w:hAnsi="宋体" w:cs="Arial"/>
          <w:color w:val="000000" w:themeColor="text1"/>
          <w:kern w:val="0"/>
          <w:sz w:val="24"/>
          <w:szCs w:val="24"/>
        </w:rPr>
        <w:t>给予奖励。</w:t>
      </w:r>
    </w:p>
    <w:p>
      <w:pPr>
        <w:spacing w:line="360" w:lineRule="auto"/>
        <w:ind w:firstLine="470" w:firstLineChars="196"/>
        <w:rPr>
          <w:rFonts w:ascii="宋体" w:cs="Arial"/>
          <w:color w:val="000000" w:themeColor="text1"/>
          <w:kern w:val="0"/>
          <w:sz w:val="24"/>
          <w:szCs w:val="24"/>
        </w:rPr>
      </w:pPr>
      <w:r>
        <w:rPr>
          <w:rFonts w:ascii="宋体" w:hAnsi="宋体" w:cs="Arial"/>
          <w:color w:val="000000" w:themeColor="text1"/>
          <w:kern w:val="0"/>
          <w:sz w:val="24"/>
          <w:szCs w:val="24"/>
        </w:rPr>
        <w:t xml:space="preserve">2. </w:t>
      </w:r>
      <w:r>
        <w:rPr>
          <w:rFonts w:hint="eastAsia" w:ascii="宋体" w:hAnsi="宋体" w:cs="Arial"/>
          <w:color w:val="000000" w:themeColor="text1"/>
          <w:kern w:val="0"/>
          <w:sz w:val="24"/>
          <w:szCs w:val="24"/>
        </w:rPr>
        <w:t>理工科：按单个项目到账经费（</w:t>
      </w:r>
      <w:r>
        <w:rPr>
          <w:rFonts w:ascii="宋体" w:hAnsi="宋体" w:cs="Arial"/>
          <w:color w:val="000000" w:themeColor="text1"/>
          <w:kern w:val="0"/>
          <w:sz w:val="24"/>
          <w:szCs w:val="24"/>
        </w:rPr>
        <w:t>X</w:t>
      </w:r>
      <w:r>
        <w:rPr>
          <w:rFonts w:hint="eastAsia" w:ascii="宋体" w:hAnsi="宋体" w:cs="Arial"/>
          <w:color w:val="000000" w:themeColor="text1"/>
          <w:kern w:val="0"/>
          <w:sz w:val="24"/>
          <w:szCs w:val="24"/>
        </w:rPr>
        <w:t>万元）的（</w:t>
      </w:r>
      <w:r>
        <w:rPr>
          <w:rFonts w:ascii="宋体" w:hAnsi="宋体" w:cs="Arial"/>
          <w:color w:val="000000" w:themeColor="text1"/>
          <w:kern w:val="0"/>
          <w:sz w:val="24"/>
          <w:szCs w:val="24"/>
        </w:rPr>
        <w:t>X</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4</w:t>
      </w:r>
      <w:r>
        <w:rPr>
          <w:rFonts w:hint="eastAsia" w:ascii="宋体" w:hAnsi="宋体" w:cs="Arial"/>
          <w:color w:val="000000" w:themeColor="text1"/>
          <w:kern w:val="0"/>
          <w:sz w:val="24"/>
          <w:szCs w:val="24"/>
        </w:rPr>
        <w:t>万元）÷</w:t>
      </w:r>
      <w:r>
        <w:rPr>
          <w:rFonts w:ascii="宋体" w:hAnsi="宋体" w:cs="Arial"/>
          <w:color w:val="000000" w:themeColor="text1"/>
          <w:kern w:val="0"/>
          <w:sz w:val="24"/>
          <w:szCs w:val="24"/>
        </w:rPr>
        <w:t>10</w:t>
      </w:r>
      <w:r>
        <w:rPr>
          <w:rFonts w:hint="eastAsia" w:ascii="宋体" w:hAnsi="宋体" w:cs="Arial"/>
          <w:color w:val="000000" w:themeColor="text1"/>
          <w:kern w:val="0"/>
          <w:sz w:val="24"/>
          <w:szCs w:val="24"/>
        </w:rPr>
        <w:t>给予奖励。</w:t>
      </w:r>
    </w:p>
    <w:p>
      <w:pPr>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单个项目最高奖励限额为</w:t>
      </w:r>
      <w:r>
        <w:rPr>
          <w:rFonts w:ascii="宋体" w:hAnsi="宋体" w:cs="Arial"/>
          <w:color w:val="000000" w:themeColor="text1"/>
          <w:kern w:val="0"/>
          <w:sz w:val="24"/>
          <w:szCs w:val="24"/>
        </w:rPr>
        <w:t>10</w:t>
      </w:r>
      <w:r>
        <w:rPr>
          <w:rFonts w:hint="eastAsia" w:ascii="宋体" w:hAnsi="宋体" w:cs="Arial"/>
          <w:color w:val="000000" w:themeColor="text1"/>
          <w:kern w:val="0"/>
          <w:sz w:val="24"/>
          <w:szCs w:val="24"/>
        </w:rPr>
        <w:t>万元。</w:t>
      </w:r>
    </w:p>
    <w:p>
      <w:pPr>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（三）科研项目立项奖励资格认定：</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．主持项目以项目主管机构下达我校的立项通知书为依据，其核定经费须到达我校财务账户。</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2. </w:t>
      </w:r>
      <w:r>
        <w:rPr>
          <w:rFonts w:hint="eastAsia" w:ascii="宋体" w:hAnsi="宋体" w:cs="Arial"/>
          <w:color w:val="000000" w:themeColor="text1"/>
          <w:kern w:val="0"/>
          <w:sz w:val="24"/>
          <w:szCs w:val="24"/>
        </w:rPr>
        <w:t>重大和重点项目的子课题以我校作为协作参加单位的项目申请书和主管机构（或主持单位）的立项通知（或证明）为依据，核定经费须到达我校财务账户。</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3. </w:t>
      </w:r>
      <w:r>
        <w:rPr>
          <w:rFonts w:hint="eastAsia" w:ascii="宋体" w:hAnsi="宋体" w:cs="Arial"/>
          <w:color w:val="000000" w:themeColor="text1"/>
          <w:kern w:val="0"/>
          <w:sz w:val="24"/>
          <w:szCs w:val="24"/>
        </w:rPr>
        <w:t>对于仅有项目主持单位科研管理部门证明，虽然项目经费划拨到我校，但是项目申请书中没有注明我校作为协作参加单位的项目，不予奖励。</w:t>
      </w:r>
    </w:p>
    <w:p>
      <w:pPr>
        <w:spacing w:line="360" w:lineRule="auto"/>
        <w:ind w:firstLine="360" w:firstLineChars="150"/>
        <w:rPr>
          <w:rFonts w:ascii="宋体" w:cs="Arial"/>
          <w:color w:val="000000" w:themeColor="text1"/>
          <w:kern w:val="0"/>
          <w:sz w:val="24"/>
          <w:szCs w:val="24"/>
        </w:rPr>
      </w:pPr>
      <w:r>
        <w:rPr>
          <w:rFonts w:hint="eastAsia" w:ascii="宋体" w:hAnsi="宋体" w:cs="Arial"/>
          <w:color w:val="000000" w:themeColor="text1"/>
          <w:kern w:val="0"/>
          <w:sz w:val="24"/>
          <w:szCs w:val="24"/>
        </w:rPr>
        <w:t>（四）科研项目奖励的发放与使用：</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1. </w:t>
      </w:r>
      <w:r>
        <w:rPr>
          <w:rFonts w:hint="eastAsia" w:ascii="宋体" w:hAnsi="宋体" w:cs="Arial"/>
          <w:color w:val="000000" w:themeColor="text1"/>
          <w:kern w:val="0"/>
          <w:sz w:val="24"/>
          <w:szCs w:val="24"/>
        </w:rPr>
        <w:t>纵向科研项目奖励分两次等额发放。</w:t>
      </w:r>
    </w:p>
    <w:p>
      <w:pPr>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）项目立项奖励：项目经费到帐后，发放项目奖励总额的</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，奖励经费从配套经费中支出（由项目负责人提出书面申请，经科研处审核后支取）。</w:t>
      </w:r>
    </w:p>
    <w:p>
      <w:pPr>
        <w:adjustRightInd w:val="0"/>
        <w:snapToGrid w:val="0"/>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）项目结题奖励：项目按合同书（或任务书）规定时间内正常结题后发放项目奖励总额的其余</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，若项目延期结题，该</w:t>
      </w: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部分奖励按自动放弃处理，第二次奖励的经费来源于学校的科研奖励基金。</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2. </w:t>
      </w:r>
      <w:r>
        <w:rPr>
          <w:rFonts w:hint="eastAsia" w:ascii="宋体" w:hAnsi="宋体" w:cs="Arial"/>
          <w:color w:val="000000" w:themeColor="text1"/>
          <w:kern w:val="0"/>
          <w:sz w:val="24"/>
          <w:szCs w:val="24"/>
        </w:rPr>
        <w:t>含横向项目的奖励一次发放。科研项目立项奖励由课题组主持人领取，课题组内部自行决定再分配。对于无故终止的项目，将追回已发的立项奖励。</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第十三条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学术著作、学术论文、科研成果获奖、科技发明、决策咨询报告、创作类成果等获奖奖励标准及说明如下。</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1. </w:t>
      </w:r>
      <w:r>
        <w:rPr>
          <w:rFonts w:hint="eastAsia" w:ascii="宋体" w:hAnsi="宋体" w:cs="Arial"/>
          <w:color w:val="000000" w:themeColor="text1"/>
          <w:kern w:val="0"/>
          <w:sz w:val="24"/>
          <w:szCs w:val="24"/>
        </w:rPr>
        <w:t>学术著作</w:t>
      </w:r>
    </w:p>
    <w:tbl>
      <w:tblPr>
        <w:tblStyle w:val="13"/>
        <w:tblW w:w="8367" w:type="dxa"/>
        <w:jc w:val="center"/>
        <w:tblInd w:w="-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75"/>
        <w:gridCol w:w="1153"/>
        <w:gridCol w:w="1138"/>
        <w:gridCol w:w="1274"/>
        <w:gridCol w:w="1180"/>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1276"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著作</w:t>
            </w:r>
          </w:p>
        </w:tc>
        <w:tc>
          <w:tcPr>
            <w:tcW w:w="2428" w:type="dxa"/>
            <w:gridSpan w:val="2"/>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专著</w:t>
            </w:r>
          </w:p>
        </w:tc>
        <w:tc>
          <w:tcPr>
            <w:tcW w:w="2412" w:type="dxa"/>
            <w:gridSpan w:val="2"/>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编著</w:t>
            </w:r>
          </w:p>
        </w:tc>
        <w:tc>
          <w:tcPr>
            <w:tcW w:w="2251" w:type="dxa"/>
            <w:gridSpan w:val="2"/>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译著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1276"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出版社</w:t>
            </w:r>
          </w:p>
        </w:tc>
        <w:tc>
          <w:tcPr>
            <w:tcW w:w="1275"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权威</w:t>
            </w:r>
          </w:p>
        </w:tc>
        <w:tc>
          <w:tcPr>
            <w:tcW w:w="1153"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其他</w:t>
            </w:r>
          </w:p>
        </w:tc>
        <w:tc>
          <w:tcPr>
            <w:tcW w:w="1138"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权威</w:t>
            </w:r>
          </w:p>
        </w:tc>
        <w:tc>
          <w:tcPr>
            <w:tcW w:w="1274"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其他</w:t>
            </w:r>
          </w:p>
        </w:tc>
        <w:tc>
          <w:tcPr>
            <w:tcW w:w="1180"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权威</w:t>
            </w:r>
          </w:p>
        </w:tc>
        <w:tc>
          <w:tcPr>
            <w:tcW w:w="1071" w:type="dxa"/>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2" w:hRule="atLeast"/>
          <w:jc w:val="center"/>
        </w:trPr>
        <w:tc>
          <w:tcPr>
            <w:tcW w:w="1276"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w:t>
            </w:r>
          </w:p>
        </w:tc>
        <w:tc>
          <w:tcPr>
            <w:tcW w:w="1275"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万字</w:t>
            </w:r>
          </w:p>
        </w:tc>
        <w:tc>
          <w:tcPr>
            <w:tcW w:w="1153"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600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万字</w:t>
            </w:r>
          </w:p>
        </w:tc>
        <w:tc>
          <w:tcPr>
            <w:tcW w:w="1138"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300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万字</w:t>
            </w:r>
          </w:p>
        </w:tc>
        <w:tc>
          <w:tcPr>
            <w:tcW w:w="1274"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100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p>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万字</w:t>
            </w:r>
          </w:p>
        </w:tc>
        <w:tc>
          <w:tcPr>
            <w:tcW w:w="1180"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200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万字</w:t>
            </w:r>
          </w:p>
        </w:tc>
        <w:tc>
          <w:tcPr>
            <w:tcW w:w="1071" w:type="dxa"/>
            <w:vAlign w:val="center"/>
          </w:tcPr>
          <w:p>
            <w:pPr>
              <w:spacing w:line="360" w:lineRule="auto"/>
              <w:jc w:val="center"/>
              <w:rPr>
                <w:rFonts w:ascii="宋体" w:cs="Arial"/>
                <w:color w:val="000000" w:themeColor="text1"/>
                <w:kern w:val="0"/>
                <w:sz w:val="24"/>
                <w:szCs w:val="24"/>
              </w:rPr>
            </w:pPr>
            <w:r>
              <w:rPr>
                <w:rFonts w:ascii="宋体" w:hAnsi="宋体" w:cs="Arial"/>
                <w:color w:val="000000" w:themeColor="text1"/>
                <w:kern w:val="0"/>
                <w:sz w:val="24"/>
                <w:szCs w:val="24"/>
              </w:rPr>
              <w:t>50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万字</w:t>
            </w:r>
          </w:p>
        </w:tc>
      </w:tr>
    </w:tbl>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说明：①权威出版社见《泰州学院权威出版社目录》（科研处网站）；其他出版社是指除权威出版社以外的由国家新闻出版总署批准的出版社。②学术价值较高的辞书等按一般出版社出版的学术专著的</w:t>
      </w:r>
      <w:r>
        <w:rPr>
          <w:rFonts w:ascii="仿宋_GB2312" w:hAnsi="宋体" w:eastAsia="仿宋_GB2312" w:cs="Arial"/>
          <w:color w:val="000000" w:themeColor="text1"/>
          <w:kern w:val="0"/>
          <w:szCs w:val="21"/>
        </w:rPr>
        <w:t>20%</w:t>
      </w:r>
      <w:r>
        <w:rPr>
          <w:rFonts w:hint="eastAsia" w:ascii="仿宋_GB2312" w:hAnsi="宋体" w:eastAsia="仿宋_GB2312" w:cs="Arial"/>
          <w:color w:val="000000" w:themeColor="text1"/>
          <w:kern w:val="0"/>
          <w:szCs w:val="21"/>
        </w:rPr>
        <w:t>计算奖励金额。③专著成果应在作者简介、前言或后记等明确标注作者所在单位为“泰州学院”。</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2. </w:t>
      </w:r>
      <w:r>
        <w:rPr>
          <w:rFonts w:hint="eastAsia" w:ascii="宋体" w:hAnsi="宋体" w:cs="Arial"/>
          <w:color w:val="000000" w:themeColor="text1"/>
          <w:kern w:val="0"/>
          <w:sz w:val="24"/>
          <w:szCs w:val="24"/>
        </w:rPr>
        <w:t>学术论文</w:t>
      </w:r>
    </w:p>
    <w:tbl>
      <w:tblPr>
        <w:tblStyle w:val="13"/>
        <w:tblW w:w="8286" w:type="dxa"/>
        <w:jc w:val="center"/>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5220"/>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26"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序号</w:t>
            </w:r>
          </w:p>
        </w:tc>
        <w:tc>
          <w:tcPr>
            <w:tcW w:w="5220"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项目</w:t>
            </w:r>
          </w:p>
        </w:tc>
        <w:tc>
          <w:tcPr>
            <w:tcW w:w="1940"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奖励金额</w:t>
            </w:r>
          </w:p>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（元</w:t>
            </w:r>
            <w:r>
              <w:rPr>
                <w:rFonts w:ascii="宋体" w:hAnsi="宋体" w:cs="Arial"/>
                <w:b/>
                <w:color w:val="000000" w:themeColor="text1"/>
                <w:kern w:val="0"/>
                <w:sz w:val="24"/>
                <w:szCs w:val="24"/>
              </w:rPr>
              <w:t>/</w:t>
            </w:r>
            <w:r>
              <w:rPr>
                <w:rFonts w:hint="eastAsia" w:ascii="宋体" w:hAnsi="宋体" w:cs="Arial"/>
                <w:b/>
                <w:color w:val="000000" w:themeColor="text1"/>
                <w:kern w:val="0"/>
                <w:sz w:val="24"/>
                <w:szCs w:val="24"/>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p>
        </w:tc>
        <w:tc>
          <w:tcPr>
            <w:tcW w:w="5220" w:type="dxa"/>
            <w:vAlign w:val="center"/>
          </w:tcPr>
          <w:p>
            <w:pPr>
              <w:spacing w:line="360" w:lineRule="auto"/>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Science</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Nature</w:t>
            </w:r>
            <w:r>
              <w:rPr>
                <w:rFonts w:hint="eastAsia" w:ascii="宋体" w:hAnsi="宋体" w:cs="Arial"/>
                <w:color w:val="000000" w:themeColor="text1"/>
                <w:kern w:val="0"/>
                <w:sz w:val="24"/>
                <w:szCs w:val="24"/>
              </w:rPr>
              <w:t>》期刊论文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w:t>
            </w:r>
          </w:p>
        </w:tc>
        <w:tc>
          <w:tcPr>
            <w:tcW w:w="5220" w:type="dxa"/>
            <w:vAlign w:val="center"/>
          </w:tcPr>
          <w:p>
            <w:pPr>
              <w:spacing w:line="360" w:lineRule="auto"/>
              <w:jc w:val="left"/>
              <w:rPr>
                <w:rFonts w:ascii="宋体" w:cs="Arial"/>
                <w:color w:val="000000" w:themeColor="text1"/>
                <w:kern w:val="0"/>
                <w:sz w:val="24"/>
                <w:szCs w:val="24"/>
              </w:rPr>
            </w:pPr>
            <w:r>
              <w:rPr>
                <w:rFonts w:hint="eastAsia" w:ascii="宋体" w:hAnsi="宋体" w:cs="Arial"/>
                <w:color w:val="000000" w:themeColor="text1"/>
                <w:kern w:val="0"/>
                <w:sz w:val="24"/>
                <w:szCs w:val="24"/>
              </w:rPr>
              <w:t>《中国社会科学》期刊论文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6</w:t>
            </w:r>
            <w:r>
              <w:rPr>
                <w:rFonts w:ascii="宋体" w:hAnsi="宋体" w:cs="Arial"/>
                <w:color w:val="000000" w:themeColor="text1"/>
                <w:kern w:val="0"/>
                <w:sz w:val="24"/>
                <w:szCs w:val="24"/>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3</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SCI-1</w:t>
            </w:r>
            <w:r>
              <w:rPr>
                <w:rFonts w:hint="eastAsia" w:ascii="宋体" w:hAnsi="宋体" w:cs="Arial"/>
                <w:color w:val="000000" w:themeColor="text1"/>
                <w:kern w:val="0"/>
                <w:sz w:val="24"/>
                <w:szCs w:val="24"/>
              </w:rPr>
              <w:t>区收录论文、《中国科学》期刊论文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4</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SSCI</w:t>
            </w:r>
            <w:r>
              <w:rPr>
                <w:rFonts w:hint="eastAsia" w:ascii="宋体" w:hAnsi="宋体" w:cs="Arial"/>
                <w:color w:val="000000" w:themeColor="text1"/>
                <w:kern w:val="0"/>
                <w:sz w:val="24"/>
                <w:szCs w:val="24"/>
              </w:rPr>
              <w:t>收录论文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SCI-2</w:t>
            </w:r>
            <w:r>
              <w:rPr>
                <w:rFonts w:hint="eastAsia" w:ascii="宋体" w:hAnsi="宋体" w:cs="Arial"/>
                <w:color w:val="000000" w:themeColor="text1"/>
                <w:kern w:val="0"/>
                <w:sz w:val="24"/>
                <w:szCs w:val="24"/>
              </w:rPr>
              <w:t>区收录论文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5</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6</w:t>
            </w:r>
          </w:p>
        </w:tc>
        <w:tc>
          <w:tcPr>
            <w:tcW w:w="5220" w:type="dxa"/>
            <w:vAlign w:val="center"/>
          </w:tcPr>
          <w:p>
            <w:pPr>
              <w:spacing w:line="360" w:lineRule="auto"/>
              <w:jc w:val="left"/>
              <w:rPr>
                <w:rFonts w:ascii="宋体" w:hAnsi="宋体" w:cs="Arial"/>
                <w:color w:val="000000" w:themeColor="text1"/>
                <w:kern w:val="0"/>
                <w:sz w:val="24"/>
                <w:szCs w:val="24"/>
              </w:rPr>
            </w:pPr>
            <w:r>
              <w:rPr>
                <w:rFonts w:hint="eastAsia" w:ascii="宋体" w:hAnsi="宋体" w:cs="Arial"/>
                <w:color w:val="000000" w:themeColor="text1"/>
                <w:kern w:val="0"/>
                <w:sz w:val="24"/>
                <w:szCs w:val="24"/>
              </w:rPr>
              <w:t>权威期刊一类论文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15</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7</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SCI-3</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4</w:t>
            </w:r>
            <w:r>
              <w:rPr>
                <w:rFonts w:hint="eastAsia" w:ascii="宋体" w:hAnsi="宋体" w:cs="Arial"/>
                <w:color w:val="000000" w:themeColor="text1"/>
                <w:kern w:val="0"/>
                <w:sz w:val="24"/>
                <w:szCs w:val="24"/>
              </w:rPr>
              <w:t>区收录论文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0</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8</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EI</w:t>
            </w:r>
            <w:r>
              <w:rPr>
                <w:rFonts w:hint="eastAsia" w:ascii="宋体" w:hAnsi="宋体" w:cs="Arial"/>
                <w:color w:val="000000" w:themeColor="text1"/>
                <w:kern w:val="0"/>
                <w:sz w:val="24"/>
                <w:szCs w:val="24"/>
              </w:rPr>
              <w:t>收录源刊论文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8</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9</w:t>
            </w:r>
          </w:p>
        </w:tc>
        <w:tc>
          <w:tcPr>
            <w:tcW w:w="5220" w:type="dxa"/>
            <w:vAlign w:val="center"/>
          </w:tcPr>
          <w:p>
            <w:pPr>
              <w:spacing w:line="360" w:lineRule="auto"/>
              <w:jc w:val="left"/>
              <w:rPr>
                <w:rFonts w:ascii="宋体" w:cs="Arial"/>
                <w:color w:val="000000" w:themeColor="text1"/>
                <w:kern w:val="0"/>
                <w:sz w:val="24"/>
                <w:szCs w:val="24"/>
              </w:rPr>
            </w:pPr>
            <w:r>
              <w:rPr>
                <w:rFonts w:hint="eastAsia" w:ascii="宋体" w:hAnsi="宋体" w:cs="Arial"/>
                <w:color w:val="000000" w:themeColor="text1"/>
                <w:kern w:val="0"/>
                <w:sz w:val="24"/>
                <w:szCs w:val="24"/>
              </w:rPr>
              <w:t>权威期刊二类论文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8</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0</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CSSCI</w:t>
            </w:r>
            <w:r>
              <w:rPr>
                <w:rFonts w:hint="eastAsia" w:ascii="宋体" w:hAnsi="宋体" w:cs="Arial"/>
                <w:color w:val="000000" w:themeColor="text1"/>
                <w:kern w:val="0"/>
                <w:sz w:val="24"/>
                <w:szCs w:val="24"/>
              </w:rPr>
              <w:t>期刊（</w:t>
            </w:r>
            <w:r>
              <w:rPr>
                <w:rFonts w:ascii="宋体" w:hAnsi="宋体" w:cs="Arial"/>
                <w:color w:val="000000" w:themeColor="text1"/>
                <w:kern w:val="0"/>
                <w:sz w:val="24"/>
                <w:szCs w:val="24"/>
              </w:rPr>
              <w:t>CSSCI</w:t>
            </w:r>
            <w:r>
              <w:rPr>
                <w:rFonts w:hint="eastAsia" w:ascii="宋体" w:hAnsi="宋体" w:cs="Arial"/>
                <w:color w:val="000000" w:themeColor="text1"/>
                <w:kern w:val="0"/>
                <w:sz w:val="24"/>
                <w:szCs w:val="24"/>
              </w:rPr>
              <w:t>集刊论文）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1</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EI</w:t>
            </w:r>
            <w:r>
              <w:rPr>
                <w:rFonts w:hint="eastAsia" w:ascii="宋体" w:hAnsi="宋体" w:cs="Arial"/>
                <w:color w:val="000000" w:themeColor="text1"/>
                <w:kern w:val="0"/>
                <w:sz w:val="24"/>
                <w:szCs w:val="24"/>
              </w:rPr>
              <w:t>收录国际重要学术会议论文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4</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2</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ISTP</w:t>
            </w:r>
            <w:r>
              <w:rPr>
                <w:rFonts w:hint="eastAsia" w:ascii="宋体" w:hAnsi="宋体" w:cs="Arial"/>
                <w:color w:val="000000" w:themeColor="text1"/>
                <w:kern w:val="0"/>
                <w:sz w:val="24"/>
                <w:szCs w:val="24"/>
              </w:rPr>
              <w:t>、CSCD、SCD收录论文</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3</w:t>
            </w:r>
            <w:r>
              <w:rPr>
                <w:rFonts w:ascii="宋体" w:hAnsi="宋体" w:cs="Arial"/>
                <w:color w:val="000000" w:themeColor="text1"/>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13</w:t>
            </w:r>
          </w:p>
        </w:tc>
        <w:tc>
          <w:tcPr>
            <w:tcW w:w="5220" w:type="dxa"/>
            <w:vAlign w:val="center"/>
          </w:tcPr>
          <w:p>
            <w:pPr>
              <w:spacing w:line="360" w:lineRule="auto"/>
              <w:jc w:val="left"/>
              <w:rPr>
                <w:rFonts w:ascii="宋体" w:cs="Arial"/>
                <w:color w:val="000000" w:themeColor="text1"/>
                <w:kern w:val="0"/>
                <w:sz w:val="24"/>
                <w:szCs w:val="24"/>
              </w:rPr>
            </w:pPr>
            <w:r>
              <w:rPr>
                <w:rFonts w:ascii="宋体" w:hAnsi="宋体" w:cs="Arial"/>
                <w:color w:val="000000" w:themeColor="text1"/>
                <w:kern w:val="0"/>
                <w:sz w:val="24"/>
                <w:szCs w:val="24"/>
              </w:rPr>
              <w:t>CSSCI</w:t>
            </w:r>
            <w:r>
              <w:rPr>
                <w:rFonts w:hint="eastAsia" w:ascii="宋体" w:hAnsi="宋体" w:cs="Arial"/>
                <w:color w:val="000000" w:themeColor="text1"/>
                <w:kern w:val="0"/>
                <w:sz w:val="24"/>
                <w:szCs w:val="24"/>
              </w:rPr>
              <w:t>期刊扩展版、中文核心期刊论文，</w:t>
            </w:r>
            <w:r>
              <w:rPr>
                <w:rFonts w:ascii="宋体" w:hAnsi="宋体" w:cs="Arial"/>
                <w:color w:val="000000" w:themeColor="text1"/>
                <w:kern w:val="0"/>
                <w:sz w:val="24"/>
                <w:szCs w:val="24"/>
              </w:rPr>
              <w:t>EI</w:t>
            </w:r>
            <w:r>
              <w:rPr>
                <w:rFonts w:hint="eastAsia" w:ascii="宋体" w:hAnsi="宋体" w:cs="Arial"/>
                <w:color w:val="000000" w:themeColor="text1"/>
                <w:kern w:val="0"/>
                <w:sz w:val="24"/>
                <w:szCs w:val="24"/>
              </w:rPr>
              <w:t>收录一般论文</w:t>
            </w:r>
          </w:p>
        </w:tc>
        <w:tc>
          <w:tcPr>
            <w:tcW w:w="1940"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1126"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14</w:t>
            </w:r>
          </w:p>
        </w:tc>
        <w:tc>
          <w:tcPr>
            <w:tcW w:w="5220" w:type="dxa"/>
            <w:vAlign w:val="center"/>
          </w:tcPr>
          <w:p>
            <w:pPr>
              <w:spacing w:line="360" w:lineRule="auto"/>
              <w:jc w:val="left"/>
              <w:rPr>
                <w:rFonts w:ascii="宋体" w:hAnsi="宋体" w:cs="Arial"/>
                <w:color w:val="000000" w:themeColor="text1"/>
                <w:kern w:val="0"/>
                <w:sz w:val="24"/>
                <w:szCs w:val="24"/>
              </w:rPr>
            </w:pPr>
            <w:r>
              <w:rPr>
                <w:rFonts w:hint="eastAsia" w:ascii="宋体" w:hAnsi="宋体" w:cs="Arial"/>
                <w:color w:val="000000" w:themeColor="text1"/>
                <w:kern w:val="0"/>
                <w:sz w:val="24"/>
                <w:szCs w:val="24"/>
              </w:rPr>
              <w:t>省级以上其它学术期刊</w:t>
            </w:r>
          </w:p>
        </w:tc>
        <w:tc>
          <w:tcPr>
            <w:tcW w:w="1940" w:type="dxa"/>
            <w:vAlign w:val="center"/>
          </w:tcPr>
          <w:p>
            <w:pPr>
              <w:spacing w:line="360" w:lineRule="auto"/>
              <w:jc w:val="center"/>
              <w:rPr>
                <w:rFonts w:ascii="宋体" w:hAnsi="宋体" w:cs="Arial"/>
                <w:color w:val="000000" w:themeColor="text1"/>
                <w:kern w:val="0"/>
                <w:sz w:val="24"/>
                <w:szCs w:val="24"/>
              </w:rPr>
            </w:pPr>
            <w:r>
              <w:rPr>
                <w:rFonts w:hint="eastAsia" w:ascii="宋体" w:hAnsi="宋体" w:cs="Arial"/>
                <w:color w:val="000000" w:themeColor="text1"/>
                <w:kern w:val="0"/>
                <w:sz w:val="24"/>
                <w:szCs w:val="24"/>
              </w:rPr>
              <w:t>300</w:t>
            </w:r>
          </w:p>
        </w:tc>
      </w:tr>
    </w:tbl>
    <w:p>
      <w:pPr>
        <w:adjustRightInd w:val="0"/>
        <w:snapToGrid w:val="0"/>
        <w:spacing w:line="360" w:lineRule="auto"/>
        <w:ind w:firstLine="422" w:firstLineChars="200"/>
        <w:rPr>
          <w:rFonts w:ascii="仿宋_GB2312" w:hAnsi="宋体" w:eastAsia="仿宋_GB2312" w:cs="Arial"/>
          <w:b/>
          <w:color w:val="000000" w:themeColor="text1"/>
          <w:kern w:val="0"/>
          <w:szCs w:val="21"/>
        </w:rPr>
      </w:pPr>
      <w:r>
        <w:rPr>
          <w:rFonts w:hint="eastAsia" w:ascii="仿宋_GB2312" w:hAnsi="宋体" w:eastAsia="仿宋_GB2312" w:cs="Arial"/>
          <w:b/>
          <w:color w:val="000000" w:themeColor="text1"/>
          <w:kern w:val="0"/>
          <w:szCs w:val="21"/>
        </w:rPr>
        <w:t>说明：</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hint="eastAsia" w:ascii="微软雅黑" w:hAnsi="微软雅黑" w:eastAsia="微软雅黑" w:cs="Arial"/>
          <w:color w:val="000000" w:themeColor="text1"/>
          <w:kern w:val="0"/>
          <w:szCs w:val="21"/>
        </w:rPr>
        <w:t>①</w:t>
      </w:r>
      <w:r>
        <w:rPr>
          <w:rFonts w:hint="eastAsia" w:ascii="仿宋_GB2312" w:hAnsi="宋体" w:eastAsia="仿宋_GB2312" w:cs="Arial"/>
          <w:color w:val="000000" w:themeColor="text1"/>
          <w:kern w:val="0"/>
          <w:szCs w:val="21"/>
        </w:rPr>
        <w:t>一篇论文被多次检索收录、转载，按就高原则奖励一次。</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②</w:t>
      </w:r>
      <w:r>
        <w:rPr>
          <w:rFonts w:ascii="仿宋_GB2312" w:hAnsi="宋体" w:eastAsia="仿宋_GB2312" w:cs="Arial"/>
          <w:color w:val="000000" w:themeColor="text1"/>
          <w:kern w:val="0"/>
          <w:szCs w:val="21"/>
        </w:rPr>
        <w:t>CSSCI</w:t>
      </w:r>
      <w:r>
        <w:rPr>
          <w:rFonts w:hint="eastAsia" w:ascii="仿宋_GB2312" w:hAnsi="宋体" w:eastAsia="仿宋_GB2312" w:cs="Arial"/>
          <w:color w:val="000000" w:themeColor="text1"/>
          <w:kern w:val="0"/>
          <w:szCs w:val="21"/>
        </w:rPr>
        <w:t>期刊以论文发表当年公布最新版本为准，</w:t>
      </w:r>
      <w:r>
        <w:rPr>
          <w:rFonts w:ascii="仿宋_GB2312" w:hAnsi="宋体" w:eastAsia="仿宋_GB2312" w:cs="Arial"/>
          <w:color w:val="000000" w:themeColor="text1"/>
          <w:kern w:val="0"/>
          <w:szCs w:val="21"/>
        </w:rPr>
        <w:t>SCI</w:t>
      </w:r>
      <w:r>
        <w:rPr>
          <w:rFonts w:hint="eastAsia" w:ascii="仿宋_GB2312" w:hAnsi="宋体" w:eastAsia="仿宋_GB2312" w:cs="Arial"/>
          <w:color w:val="000000" w:themeColor="text1"/>
          <w:kern w:val="0"/>
          <w:szCs w:val="21"/>
        </w:rPr>
        <w:t>、</w:t>
      </w:r>
      <w:r>
        <w:rPr>
          <w:rFonts w:ascii="仿宋_GB2312" w:hAnsi="宋体" w:eastAsia="仿宋_GB2312" w:cs="Arial"/>
          <w:color w:val="000000" w:themeColor="text1"/>
          <w:kern w:val="0"/>
          <w:szCs w:val="21"/>
        </w:rPr>
        <w:t>ISTP</w:t>
      </w:r>
      <w:r>
        <w:rPr>
          <w:rFonts w:hint="eastAsia" w:ascii="仿宋_GB2312" w:hAnsi="宋体" w:eastAsia="仿宋_GB2312" w:cs="Arial"/>
          <w:color w:val="000000" w:themeColor="text1"/>
          <w:kern w:val="0"/>
          <w:szCs w:val="21"/>
        </w:rPr>
        <w:t>、CSCD、SCD收录的学术论文</w:t>
      </w:r>
      <w:r>
        <w:rPr>
          <w:rFonts w:hint="eastAsia" w:ascii="仿宋_GB2312" w:hAnsi="宋体" w:eastAsia="仿宋_GB2312" w:cs="Arial"/>
          <w:color w:val="000000"/>
          <w:kern w:val="0"/>
          <w:szCs w:val="21"/>
        </w:rPr>
        <w:t>以当年中国科学技术信息研究所等机构提供的数据为准</w:t>
      </w:r>
      <w:r>
        <w:rPr>
          <w:rFonts w:hint="eastAsia" w:ascii="仿宋_GB2312" w:hAnsi="宋体" w:eastAsia="仿宋_GB2312" w:cs="Arial"/>
          <w:color w:val="000000" w:themeColor="text1"/>
          <w:kern w:val="0"/>
          <w:szCs w:val="21"/>
        </w:rPr>
        <w:t>。</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fldChar w:fldCharType="begin"/>
      </w:r>
      <w:r>
        <w:rPr>
          <w:rFonts w:ascii="仿宋_GB2312" w:hAnsi="宋体" w:eastAsia="仿宋_GB2312" w:cs="Arial"/>
          <w:color w:val="000000" w:themeColor="text1"/>
          <w:kern w:val="0"/>
          <w:szCs w:val="21"/>
        </w:rPr>
        <w:instrText xml:space="preserve"> = 3 \* GB3 </w:instrText>
      </w:r>
      <w:r>
        <w:rPr>
          <w:rFonts w:ascii="仿宋_GB2312" w:hAnsi="宋体" w:eastAsia="仿宋_GB2312" w:cs="Arial"/>
          <w:color w:val="000000" w:themeColor="text1"/>
          <w:kern w:val="0"/>
          <w:szCs w:val="21"/>
        </w:rPr>
        <w:fldChar w:fldCharType="separate"/>
      </w:r>
      <w:r>
        <w:rPr>
          <w:rFonts w:hint="eastAsia" w:ascii="仿宋_GB2312" w:hAnsi="宋体" w:eastAsia="仿宋_GB2312" w:cs="Arial"/>
          <w:color w:val="000000" w:themeColor="text1"/>
          <w:kern w:val="0"/>
          <w:szCs w:val="21"/>
        </w:rPr>
        <w:t>③</w:t>
      </w:r>
      <w:r>
        <w:rPr>
          <w:rFonts w:ascii="仿宋_GB2312" w:hAnsi="宋体" w:eastAsia="仿宋_GB2312" w:cs="Arial"/>
          <w:color w:val="000000" w:themeColor="text1"/>
          <w:kern w:val="0"/>
          <w:szCs w:val="21"/>
        </w:rPr>
        <w:fldChar w:fldCharType="end"/>
      </w:r>
      <w:r>
        <w:rPr>
          <w:rFonts w:hint="eastAsia" w:ascii="仿宋_GB2312" w:hAnsi="宋体" w:eastAsia="仿宋_GB2312" w:cs="Arial"/>
          <w:color w:val="000000" w:themeColor="text1"/>
          <w:kern w:val="0"/>
          <w:szCs w:val="21"/>
        </w:rPr>
        <w:t>中文核心期刊指北京大学图书馆最新版《中文核心期刊要目总览》中的期刊。</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fldChar w:fldCharType="begin"/>
      </w:r>
      <w:r>
        <w:rPr>
          <w:rFonts w:ascii="仿宋_GB2312" w:hAnsi="宋体" w:eastAsia="仿宋_GB2312" w:cs="Arial"/>
          <w:color w:val="000000" w:themeColor="text1"/>
          <w:kern w:val="0"/>
          <w:szCs w:val="21"/>
        </w:rPr>
        <w:instrText xml:space="preserve"> = 4 \* GB3 </w:instrText>
      </w:r>
      <w:r>
        <w:rPr>
          <w:rFonts w:ascii="仿宋_GB2312" w:hAnsi="宋体" w:eastAsia="仿宋_GB2312" w:cs="Arial"/>
          <w:color w:val="000000" w:themeColor="text1"/>
          <w:kern w:val="0"/>
          <w:szCs w:val="21"/>
        </w:rPr>
        <w:fldChar w:fldCharType="separate"/>
      </w:r>
      <w:r>
        <w:rPr>
          <w:rFonts w:hint="eastAsia" w:ascii="仿宋_GB2312" w:hAnsi="宋体" w:eastAsia="仿宋_GB2312" w:cs="Arial"/>
          <w:color w:val="000000" w:themeColor="text1"/>
          <w:kern w:val="0"/>
          <w:szCs w:val="21"/>
        </w:rPr>
        <w:t>④</w:t>
      </w:r>
      <w:r>
        <w:rPr>
          <w:rFonts w:ascii="仿宋_GB2312" w:hAnsi="宋体" w:eastAsia="仿宋_GB2312" w:cs="Arial"/>
          <w:color w:val="000000" w:themeColor="text1"/>
          <w:kern w:val="0"/>
          <w:szCs w:val="21"/>
        </w:rPr>
        <w:fldChar w:fldCharType="end"/>
      </w:r>
      <w:r>
        <w:rPr>
          <w:rFonts w:hint="eastAsia" w:ascii="仿宋_GB2312" w:hAnsi="宋体" w:eastAsia="仿宋_GB2312" w:cs="Arial"/>
          <w:color w:val="000000" w:themeColor="text1"/>
          <w:kern w:val="0"/>
          <w:szCs w:val="21"/>
        </w:rPr>
        <w:t>权威期刊一类、二类论文参见当年的《泰州学院权威期刊目录》。</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fldChar w:fldCharType="begin"/>
      </w:r>
      <w:r>
        <w:rPr>
          <w:rFonts w:ascii="仿宋_GB2312" w:hAnsi="宋体" w:eastAsia="仿宋_GB2312" w:cs="Arial"/>
          <w:color w:val="000000" w:themeColor="text1"/>
          <w:kern w:val="0"/>
          <w:szCs w:val="21"/>
        </w:rPr>
        <w:instrText xml:space="preserve"> = 5 \* GB3 </w:instrText>
      </w:r>
      <w:r>
        <w:rPr>
          <w:rFonts w:ascii="仿宋_GB2312" w:hAnsi="宋体" w:eastAsia="仿宋_GB2312" w:cs="Arial"/>
          <w:color w:val="000000" w:themeColor="text1"/>
          <w:kern w:val="0"/>
          <w:szCs w:val="21"/>
        </w:rPr>
        <w:fldChar w:fldCharType="separate"/>
      </w:r>
      <w:r>
        <w:rPr>
          <w:rFonts w:hint="eastAsia" w:ascii="仿宋_GB2312" w:hAnsi="宋体" w:eastAsia="仿宋_GB2312" w:cs="Arial"/>
          <w:color w:val="000000" w:themeColor="text1"/>
          <w:kern w:val="0"/>
          <w:szCs w:val="21"/>
        </w:rPr>
        <w:t>⑤</w:t>
      </w:r>
      <w:r>
        <w:rPr>
          <w:rFonts w:ascii="仿宋_GB2312" w:hAnsi="宋体" w:eastAsia="仿宋_GB2312" w:cs="Arial"/>
          <w:color w:val="000000" w:themeColor="text1"/>
          <w:kern w:val="0"/>
          <w:szCs w:val="21"/>
        </w:rPr>
        <w:fldChar w:fldCharType="end"/>
      </w:r>
      <w:r>
        <w:rPr>
          <w:rFonts w:hint="eastAsia" w:ascii="仿宋_GB2312" w:hAnsi="宋体" w:eastAsia="仿宋_GB2312" w:cs="Arial"/>
          <w:color w:val="000000" w:themeColor="text1"/>
          <w:kern w:val="0"/>
          <w:szCs w:val="21"/>
        </w:rPr>
        <w:t>公开发表论文被转载，奖励标准如下：</w:t>
      </w:r>
    </w:p>
    <w:tbl>
      <w:tblPr>
        <w:tblStyle w:val="13"/>
        <w:tblW w:w="7994"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3"/>
        <w:gridCol w:w="1770"/>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503" w:type="dxa"/>
          </w:tcPr>
          <w:p>
            <w:pPr>
              <w:spacing w:line="360" w:lineRule="auto"/>
              <w:jc w:val="center"/>
              <w:rPr>
                <w:rFonts w:ascii="仿宋_GB2312" w:hAnsi="宋体" w:eastAsia="仿宋_GB2312" w:cs="Arial"/>
                <w:b/>
                <w:color w:val="000000" w:themeColor="text1"/>
                <w:kern w:val="0"/>
                <w:szCs w:val="21"/>
              </w:rPr>
            </w:pPr>
            <w:r>
              <w:rPr>
                <w:rFonts w:hint="eastAsia" w:ascii="仿宋_GB2312" w:hAnsi="宋体" w:eastAsia="仿宋_GB2312" w:cs="Arial"/>
                <w:b/>
                <w:color w:val="000000" w:themeColor="text1"/>
                <w:kern w:val="0"/>
                <w:szCs w:val="21"/>
              </w:rPr>
              <w:t>转载期刊名称</w:t>
            </w:r>
          </w:p>
        </w:tc>
        <w:tc>
          <w:tcPr>
            <w:tcW w:w="1770" w:type="dxa"/>
          </w:tcPr>
          <w:p>
            <w:pPr>
              <w:spacing w:line="360" w:lineRule="auto"/>
              <w:jc w:val="center"/>
              <w:rPr>
                <w:rFonts w:ascii="仿宋_GB2312" w:hAnsi="宋体" w:eastAsia="仿宋_GB2312" w:cs="Arial"/>
                <w:b/>
                <w:color w:val="000000" w:themeColor="text1"/>
                <w:kern w:val="0"/>
                <w:szCs w:val="21"/>
              </w:rPr>
            </w:pPr>
            <w:r>
              <w:rPr>
                <w:rFonts w:hint="eastAsia" w:ascii="仿宋_GB2312" w:hAnsi="宋体" w:eastAsia="仿宋_GB2312" w:cs="Arial"/>
                <w:b/>
                <w:color w:val="000000" w:themeColor="text1"/>
                <w:kern w:val="0"/>
                <w:szCs w:val="21"/>
              </w:rPr>
              <w:t>全文转载</w:t>
            </w:r>
          </w:p>
        </w:tc>
        <w:tc>
          <w:tcPr>
            <w:tcW w:w="2721" w:type="dxa"/>
          </w:tcPr>
          <w:p>
            <w:pPr>
              <w:spacing w:line="360" w:lineRule="auto"/>
              <w:jc w:val="center"/>
              <w:rPr>
                <w:rFonts w:ascii="仿宋_GB2312" w:hAnsi="宋体" w:eastAsia="仿宋_GB2312" w:cs="Arial"/>
                <w:b/>
                <w:color w:val="000000" w:themeColor="text1"/>
                <w:kern w:val="0"/>
                <w:szCs w:val="21"/>
              </w:rPr>
            </w:pPr>
            <w:r>
              <w:rPr>
                <w:rFonts w:hint="eastAsia" w:ascii="仿宋_GB2312" w:hAnsi="宋体" w:eastAsia="仿宋_GB2312" w:cs="Arial"/>
                <w:b/>
                <w:color w:val="000000" w:themeColor="text1"/>
                <w:kern w:val="0"/>
                <w:szCs w:val="21"/>
              </w:rPr>
              <w:t>论文摘要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503" w:type="dxa"/>
          </w:tcPr>
          <w:p>
            <w:pPr>
              <w:spacing w:line="360" w:lineRule="auto"/>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《新华文摘》</w:t>
            </w:r>
          </w:p>
        </w:tc>
        <w:tc>
          <w:tcPr>
            <w:tcW w:w="1770" w:type="dxa"/>
          </w:tcPr>
          <w:p>
            <w:pPr>
              <w:spacing w:line="360" w:lineRule="auto"/>
              <w:jc w:val="center"/>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t>15000</w:t>
            </w:r>
            <w:r>
              <w:rPr>
                <w:rFonts w:hint="eastAsia" w:ascii="仿宋_GB2312" w:hAnsi="宋体" w:eastAsia="仿宋_GB2312" w:cs="Arial"/>
                <w:color w:val="000000" w:themeColor="text1"/>
                <w:kern w:val="0"/>
                <w:szCs w:val="21"/>
              </w:rPr>
              <w:t>元</w:t>
            </w:r>
          </w:p>
        </w:tc>
        <w:tc>
          <w:tcPr>
            <w:tcW w:w="2721" w:type="dxa"/>
          </w:tcPr>
          <w:p>
            <w:pPr>
              <w:spacing w:line="360" w:lineRule="auto"/>
              <w:jc w:val="center"/>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3</w:t>
            </w:r>
            <w:r>
              <w:rPr>
                <w:rFonts w:ascii="仿宋_GB2312" w:hAnsi="宋体" w:eastAsia="仿宋_GB2312" w:cs="Arial"/>
                <w:color w:val="000000" w:themeColor="text1"/>
                <w:kern w:val="0"/>
                <w:szCs w:val="21"/>
              </w:rPr>
              <w:t>000</w:t>
            </w:r>
            <w:r>
              <w:rPr>
                <w:rFonts w:hint="eastAsia" w:ascii="仿宋_GB2312" w:hAnsi="宋体" w:eastAsia="仿宋_GB2312" w:cs="Arial"/>
                <w:color w:val="000000" w:themeColor="text1"/>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503" w:type="dxa"/>
          </w:tcPr>
          <w:p>
            <w:pPr>
              <w:spacing w:line="360" w:lineRule="auto"/>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《中国社会科学文摘》</w:t>
            </w:r>
          </w:p>
        </w:tc>
        <w:tc>
          <w:tcPr>
            <w:tcW w:w="1770" w:type="dxa"/>
          </w:tcPr>
          <w:p>
            <w:pPr>
              <w:spacing w:line="360" w:lineRule="auto"/>
              <w:jc w:val="center"/>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1000</w:t>
            </w:r>
            <w:r>
              <w:rPr>
                <w:rFonts w:ascii="仿宋_GB2312" w:hAnsi="宋体" w:eastAsia="仿宋_GB2312" w:cs="Arial"/>
                <w:color w:val="000000" w:themeColor="text1"/>
                <w:kern w:val="0"/>
                <w:szCs w:val="21"/>
              </w:rPr>
              <w:t>0</w:t>
            </w:r>
            <w:r>
              <w:rPr>
                <w:rFonts w:hint="eastAsia" w:ascii="仿宋_GB2312" w:hAnsi="宋体" w:eastAsia="仿宋_GB2312" w:cs="Arial"/>
                <w:color w:val="000000" w:themeColor="text1"/>
                <w:kern w:val="0"/>
                <w:szCs w:val="21"/>
              </w:rPr>
              <w:t>元</w:t>
            </w:r>
          </w:p>
        </w:tc>
        <w:tc>
          <w:tcPr>
            <w:tcW w:w="2721" w:type="dxa"/>
          </w:tcPr>
          <w:p>
            <w:pPr>
              <w:spacing w:line="360" w:lineRule="auto"/>
              <w:jc w:val="center"/>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t>2000</w:t>
            </w:r>
            <w:r>
              <w:rPr>
                <w:rFonts w:hint="eastAsia" w:ascii="仿宋_GB2312" w:hAnsi="宋体" w:eastAsia="仿宋_GB2312" w:cs="Arial"/>
                <w:color w:val="000000" w:themeColor="text1"/>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3503" w:type="dxa"/>
            <w:vAlign w:val="center"/>
          </w:tcPr>
          <w:p>
            <w:pPr>
              <w:adjustRightInd w:val="0"/>
              <w:snapToGrid w:val="0"/>
              <w:spacing w:line="360" w:lineRule="auto"/>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中国人民大学书报资料中心</w:t>
            </w:r>
          </w:p>
        </w:tc>
        <w:tc>
          <w:tcPr>
            <w:tcW w:w="1770" w:type="dxa"/>
            <w:vAlign w:val="center"/>
          </w:tcPr>
          <w:p>
            <w:pPr>
              <w:spacing w:line="360" w:lineRule="auto"/>
              <w:jc w:val="center"/>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t>3000</w:t>
            </w:r>
            <w:r>
              <w:rPr>
                <w:rFonts w:hint="eastAsia" w:ascii="仿宋_GB2312" w:hAnsi="宋体" w:eastAsia="仿宋_GB2312" w:cs="Arial"/>
                <w:color w:val="000000" w:themeColor="text1"/>
                <w:kern w:val="0"/>
                <w:szCs w:val="21"/>
              </w:rPr>
              <w:t>元</w:t>
            </w:r>
          </w:p>
        </w:tc>
        <w:tc>
          <w:tcPr>
            <w:tcW w:w="2721" w:type="dxa"/>
            <w:vAlign w:val="center"/>
          </w:tcPr>
          <w:p>
            <w:pPr>
              <w:spacing w:line="360" w:lineRule="auto"/>
              <w:jc w:val="center"/>
              <w:rPr>
                <w:rFonts w:ascii="仿宋_GB2312" w:hAnsi="宋体" w:eastAsia="仿宋_GB2312" w:cs="Arial"/>
                <w:color w:val="000000" w:themeColor="text1"/>
                <w:kern w:val="0"/>
                <w:szCs w:val="21"/>
              </w:rPr>
            </w:pPr>
            <w:r>
              <w:rPr>
                <w:rFonts w:ascii="仿宋_GB2312" w:hAnsi="宋体" w:eastAsia="仿宋_GB2312" w:cs="Arial"/>
                <w:color w:val="000000" w:themeColor="text1"/>
                <w:kern w:val="0"/>
                <w:szCs w:val="21"/>
              </w:rPr>
              <w:t>1000</w:t>
            </w:r>
            <w:r>
              <w:rPr>
                <w:rFonts w:hint="eastAsia" w:ascii="仿宋_GB2312" w:hAnsi="宋体" w:eastAsia="仿宋_GB2312" w:cs="Arial"/>
                <w:color w:val="000000" w:themeColor="text1"/>
                <w:kern w:val="0"/>
                <w:szCs w:val="21"/>
              </w:rPr>
              <w:t>元</w:t>
            </w:r>
          </w:p>
        </w:tc>
      </w:tr>
    </w:tbl>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⑥在《人民日报》（理论版）、《光明日报》（理论版）发表学术文章按权威期刊一类论文奖励标准奖励，在《中国教育报》《中国社会科学报》等发表的学术文章按中文核心期刊论文奖励标准奖励。</w:t>
      </w:r>
    </w:p>
    <w:p>
      <w:pPr>
        <w:adjustRightInd w:val="0"/>
        <w:snapToGrid w:val="0"/>
        <w:spacing w:line="360" w:lineRule="auto"/>
        <w:ind w:firstLine="420" w:firstLineChars="200"/>
        <w:rPr>
          <w:rFonts w:ascii="仿宋_GB2312" w:hAnsi="宋体" w:eastAsia="仿宋_GB2312" w:cs="Arial"/>
          <w:color w:val="000000" w:themeColor="text1"/>
          <w:kern w:val="0"/>
          <w:szCs w:val="21"/>
        </w:rPr>
      </w:pPr>
      <w:r>
        <w:rPr>
          <w:rFonts w:hint="eastAsia" w:ascii="仿宋_GB2312" w:hAnsi="宋体" w:eastAsia="仿宋_GB2312" w:cs="Arial"/>
          <w:color w:val="000000" w:themeColor="text1"/>
          <w:kern w:val="0"/>
          <w:szCs w:val="21"/>
        </w:rPr>
        <w:t>⑦美术作品被中国美术馆、中国国家博物馆、人民大会堂、毛主席纪念堂等著名场馆收藏（非商业行为，有相关收藏证书），按被</w:t>
      </w:r>
      <w:r>
        <w:rPr>
          <w:rFonts w:ascii="仿宋_GB2312" w:hAnsi="宋体" w:eastAsia="仿宋_GB2312" w:cs="Arial"/>
          <w:color w:val="000000" w:themeColor="text1"/>
          <w:kern w:val="0"/>
          <w:szCs w:val="21"/>
        </w:rPr>
        <w:t>SCI-2</w:t>
      </w:r>
      <w:r>
        <w:rPr>
          <w:rFonts w:hint="eastAsia" w:ascii="仿宋_GB2312" w:hAnsi="宋体" w:eastAsia="仿宋_GB2312" w:cs="Arial"/>
          <w:color w:val="000000" w:themeColor="text1"/>
          <w:kern w:val="0"/>
          <w:szCs w:val="21"/>
        </w:rPr>
        <w:t>区收录论文奖励；美术作品被江苏省美术馆、江苏省博物馆著名场馆收藏（非商业行为，有相关收藏证书），按CSSCI论文奖励；发表在核心期刊上的原创美术作品：以每页作品奖励</w:t>
      </w:r>
      <w:r>
        <w:rPr>
          <w:rFonts w:ascii="仿宋_GB2312" w:hAnsi="宋体" w:eastAsia="仿宋_GB2312" w:cs="Arial"/>
          <w:color w:val="000000" w:themeColor="text1"/>
          <w:kern w:val="0"/>
          <w:szCs w:val="21"/>
        </w:rPr>
        <w:t>400</w:t>
      </w:r>
      <w:r>
        <w:rPr>
          <w:rFonts w:hint="eastAsia" w:ascii="仿宋_GB2312" w:hAnsi="宋体" w:eastAsia="仿宋_GB2312" w:cs="Arial"/>
          <w:color w:val="000000" w:themeColor="text1"/>
          <w:kern w:val="0"/>
          <w:szCs w:val="21"/>
        </w:rPr>
        <w:t>元计算</w:t>
      </w:r>
      <w:r>
        <w:rPr>
          <w:rFonts w:ascii="仿宋_GB2312" w:hAnsi="宋体" w:eastAsia="仿宋_GB2312" w:cs="Arial"/>
          <w:color w:val="000000" w:themeColor="text1"/>
          <w:kern w:val="0"/>
          <w:szCs w:val="21"/>
        </w:rPr>
        <w:t>(</w:t>
      </w:r>
      <w:r>
        <w:rPr>
          <w:rFonts w:hint="eastAsia" w:ascii="仿宋_GB2312" w:hAnsi="宋体" w:eastAsia="仿宋_GB2312" w:cs="Arial"/>
          <w:color w:val="000000" w:themeColor="text1"/>
          <w:kern w:val="0"/>
          <w:szCs w:val="21"/>
        </w:rPr>
        <w:t>美术作品发表时不得小于刊物的</w:t>
      </w:r>
      <w:r>
        <w:rPr>
          <w:rFonts w:ascii="仿宋_GB2312" w:hAnsi="宋体" w:eastAsia="仿宋_GB2312" w:cs="Arial"/>
          <w:color w:val="000000" w:themeColor="text1"/>
          <w:kern w:val="0"/>
          <w:szCs w:val="21"/>
        </w:rPr>
        <w:t>1/2</w:t>
      </w:r>
      <w:r>
        <w:rPr>
          <w:rFonts w:hint="eastAsia" w:ascii="仿宋_GB2312" w:hAnsi="宋体" w:eastAsia="仿宋_GB2312" w:cs="Arial"/>
          <w:color w:val="000000" w:themeColor="text1"/>
          <w:kern w:val="0"/>
          <w:szCs w:val="21"/>
        </w:rPr>
        <w:t>版面</w:t>
      </w:r>
      <w:r>
        <w:rPr>
          <w:rFonts w:ascii="仿宋_GB2312" w:hAnsi="宋体" w:eastAsia="仿宋_GB2312" w:cs="Arial"/>
          <w:color w:val="000000" w:themeColor="text1"/>
          <w:kern w:val="0"/>
          <w:szCs w:val="21"/>
        </w:rPr>
        <w:t>)</w:t>
      </w:r>
      <w:r>
        <w:rPr>
          <w:rFonts w:hint="eastAsia" w:ascii="仿宋_GB2312" w:hAnsi="宋体" w:eastAsia="仿宋_GB2312" w:cs="Arial"/>
          <w:color w:val="000000" w:themeColor="text1"/>
          <w:kern w:val="0"/>
          <w:szCs w:val="21"/>
        </w:rPr>
        <w:t>。</w:t>
      </w:r>
    </w:p>
    <w:p>
      <w:pPr>
        <w:adjustRightInd w:val="0"/>
        <w:snapToGrid w:val="0"/>
        <w:spacing w:line="360" w:lineRule="auto"/>
        <w:ind w:firstLine="420" w:firstLineChars="200"/>
        <w:rPr>
          <w:rFonts w:ascii="宋体" w:cs="Arial"/>
          <w:color w:val="000000" w:themeColor="text1"/>
          <w:kern w:val="0"/>
          <w:sz w:val="24"/>
          <w:szCs w:val="24"/>
        </w:rPr>
      </w:pPr>
      <w:r>
        <w:rPr>
          <w:rFonts w:hint="eastAsia" w:ascii="仿宋_GB2312" w:hAnsi="宋体" w:eastAsia="仿宋_GB2312" w:cs="Arial"/>
          <w:color w:val="000000" w:themeColor="text1"/>
          <w:kern w:val="0"/>
          <w:szCs w:val="21"/>
        </w:rPr>
        <w:t>⑧国际、国内顶级学术会议论文的奖励金额提交学术委员会讨论决定。</w:t>
      </w:r>
    </w:p>
    <w:p>
      <w:pPr>
        <w:adjustRightInd w:val="0"/>
        <w:snapToGrid w:val="0"/>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3. </w:t>
      </w:r>
      <w:r>
        <w:rPr>
          <w:rFonts w:hint="eastAsia" w:ascii="宋体" w:hAnsi="宋体" w:cs="Arial"/>
          <w:color w:val="000000" w:themeColor="text1"/>
          <w:kern w:val="0"/>
          <w:sz w:val="24"/>
          <w:szCs w:val="24"/>
        </w:rPr>
        <w:t>科研成果获奖</w:t>
      </w:r>
    </w:p>
    <w:tbl>
      <w:tblPr>
        <w:tblStyle w:val="13"/>
        <w:tblW w:w="852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291"/>
        <w:gridCol w:w="1496"/>
        <w:gridCol w:w="17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atLeast"/>
          <w:jc w:val="center"/>
        </w:trPr>
        <w:tc>
          <w:tcPr>
            <w:tcW w:w="6787" w:type="dxa"/>
            <w:gridSpan w:val="2"/>
            <w:vMerge w:val="restart"/>
            <w:tcBorders>
              <w:top w:val="single" w:color="auto" w:sz="4" w:space="0"/>
              <w:bottom w:val="single" w:color="auto" w:sz="4" w:space="0"/>
              <w:right w:val="single" w:color="auto" w:sz="4" w:space="0"/>
            </w:tcBorders>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w:t>
            </w:r>
            <w:r>
              <w:rPr>
                <w:rFonts w:ascii="宋体" w:hAnsi="宋体" w:cs="Arial"/>
                <w:b/>
                <w:color w:val="000000" w:themeColor="text1"/>
                <w:kern w:val="0"/>
                <w:sz w:val="24"/>
                <w:szCs w:val="24"/>
              </w:rPr>
              <w:t xml:space="preserve">  </w:t>
            </w:r>
            <w:r>
              <w:rPr>
                <w:rFonts w:hint="eastAsia" w:ascii="宋体" w:hAnsi="宋体" w:cs="Arial"/>
                <w:b/>
                <w:color w:val="000000" w:themeColor="text1"/>
                <w:kern w:val="0"/>
                <w:sz w:val="24"/>
                <w:szCs w:val="24"/>
              </w:rPr>
              <w:t>目</w:t>
            </w:r>
          </w:p>
        </w:tc>
        <w:tc>
          <w:tcPr>
            <w:tcW w:w="1741" w:type="dxa"/>
            <w:vMerge w:val="restart"/>
            <w:tcBorders>
              <w:top w:val="single" w:color="auto" w:sz="4" w:space="0"/>
              <w:left w:val="single" w:color="auto" w:sz="4" w:space="0"/>
              <w:bottom w:val="single" w:color="auto" w:sz="4" w:space="0"/>
            </w:tcBorders>
            <w:vAlign w:val="center"/>
          </w:tcPr>
          <w:p>
            <w:pPr>
              <w:adjustRightInd w:val="0"/>
              <w:snapToGrid w:val="0"/>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奖励金额</w:t>
            </w:r>
          </w:p>
          <w:p>
            <w:pPr>
              <w:adjustRightInd w:val="0"/>
              <w:snapToGrid w:val="0"/>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（元</w:t>
            </w:r>
            <w:r>
              <w:rPr>
                <w:rFonts w:ascii="宋体" w:hAnsi="宋体" w:cs="Arial"/>
                <w:b/>
                <w:color w:val="000000" w:themeColor="text1"/>
                <w:kern w:val="0"/>
                <w:sz w:val="24"/>
                <w:szCs w:val="24"/>
              </w:rPr>
              <w:t>/</w:t>
            </w:r>
            <w:r>
              <w:rPr>
                <w:rFonts w:hint="eastAsia" w:ascii="宋体" w:hAnsi="宋体" w:cs="Arial"/>
                <w:b/>
                <w:color w:val="000000" w:themeColor="text1"/>
                <w:kern w:val="0"/>
                <w:sz w:val="24"/>
                <w:szCs w:val="24"/>
              </w:rPr>
              <w:t>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8" w:hRule="atLeast"/>
          <w:jc w:val="center"/>
        </w:trPr>
        <w:tc>
          <w:tcPr>
            <w:tcW w:w="6787" w:type="dxa"/>
            <w:gridSpan w:val="2"/>
            <w:vMerge w:val="continue"/>
            <w:tcBorders>
              <w:top w:val="single" w:color="auto" w:sz="4" w:space="0"/>
              <w:bottom w:val="single" w:color="auto" w:sz="4" w:space="0"/>
              <w:right w:val="single" w:color="auto" w:sz="4" w:space="0"/>
            </w:tcBorders>
            <w:vAlign w:val="center"/>
          </w:tcPr>
          <w:p>
            <w:pPr>
              <w:spacing w:line="360" w:lineRule="auto"/>
              <w:jc w:val="left"/>
              <w:rPr>
                <w:rFonts w:ascii="宋体" w:cs="Arial"/>
                <w:color w:val="000000" w:themeColor="text1"/>
                <w:kern w:val="0"/>
                <w:sz w:val="24"/>
                <w:szCs w:val="24"/>
              </w:rPr>
            </w:pPr>
          </w:p>
        </w:tc>
        <w:tc>
          <w:tcPr>
            <w:tcW w:w="1741" w:type="dxa"/>
            <w:vMerge w:val="continue"/>
            <w:tcBorders>
              <w:top w:val="single" w:color="auto" w:sz="4" w:space="0"/>
              <w:left w:val="single" w:color="auto" w:sz="4" w:space="0"/>
              <w:bottom w:val="single" w:color="auto" w:sz="4" w:space="0"/>
            </w:tcBorders>
            <w:vAlign w:val="center"/>
          </w:tcPr>
          <w:p>
            <w:pPr>
              <w:spacing w:line="360" w:lineRule="auto"/>
              <w:jc w:val="left"/>
              <w:rPr>
                <w:rFonts w:ascii="宋体" w:cs="Arial"/>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04" w:hRule="atLeast"/>
          <w:jc w:val="center"/>
        </w:trPr>
        <w:tc>
          <w:tcPr>
            <w:tcW w:w="5291" w:type="dxa"/>
            <w:vMerge w:val="restart"/>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国家级（自然科学奖、科学技术发明奖、科技进步奖）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4"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restart"/>
            <w:tcBorders>
              <w:top w:val="single" w:color="auto" w:sz="4" w:space="0"/>
              <w:right w:val="single" w:color="auto" w:sz="4" w:space="0"/>
            </w:tcBorders>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中国高校人文社会科学研究优秀成果奖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150000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3" w:hRule="atLeast"/>
          <w:jc w:val="center"/>
        </w:trPr>
        <w:tc>
          <w:tcPr>
            <w:tcW w:w="5291" w:type="dxa"/>
            <w:vMerge w:val="restart"/>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省部级（自然科学奖、科学技术发明奖、科技进步奖）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30000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restart"/>
            <w:tcBorders>
              <w:top w:val="single" w:color="auto" w:sz="4" w:space="0"/>
              <w:right w:val="single" w:color="auto" w:sz="4" w:space="0"/>
            </w:tcBorders>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省哲学社会科学优秀成果奖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80000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restart"/>
            <w:tcBorders>
              <w:top w:val="single" w:color="auto" w:sz="4" w:space="0"/>
              <w:right w:val="single" w:color="auto" w:sz="4" w:space="0"/>
            </w:tcBorders>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国家优秀图书奖、国家“五个一工程”奖、省部级教育研究成果奖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30000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 w:hRule="atLeast"/>
          <w:jc w:val="center"/>
        </w:trPr>
        <w:tc>
          <w:tcPr>
            <w:tcW w:w="5291" w:type="dxa"/>
            <w:vMerge w:val="continue"/>
            <w:tcBorders>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2" w:hRule="atLeast"/>
          <w:jc w:val="center"/>
        </w:trPr>
        <w:tc>
          <w:tcPr>
            <w:tcW w:w="5291" w:type="dxa"/>
            <w:vMerge w:val="restart"/>
            <w:tcBorders>
              <w:top w:val="single" w:color="auto" w:sz="4" w:space="0"/>
              <w:bottom w:val="nil"/>
              <w:right w:val="single" w:color="auto" w:sz="4" w:space="0"/>
            </w:tcBorders>
            <w:vAlign w:val="center"/>
          </w:tcPr>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江苏省“五个一工程”奖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厅级哲学社会科学优秀成果奖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厅级教育研究成果奖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市级科技进步奖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2" w:hRule="atLeast"/>
          <w:jc w:val="center"/>
        </w:trPr>
        <w:tc>
          <w:tcPr>
            <w:tcW w:w="5291" w:type="dxa"/>
            <w:vMerge w:val="continue"/>
            <w:tcBorders>
              <w:top w:val="single" w:color="auto" w:sz="4" w:space="0"/>
              <w:bottom w:val="nil"/>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6000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4" w:hRule="atLeast"/>
          <w:jc w:val="center"/>
        </w:trPr>
        <w:tc>
          <w:tcPr>
            <w:tcW w:w="5291" w:type="dxa"/>
            <w:vMerge w:val="continue"/>
            <w:tcBorders>
              <w:top w:val="single" w:color="auto" w:sz="4" w:space="0"/>
              <w:bottom w:val="nil"/>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3000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92" w:hRule="atLeast"/>
          <w:jc w:val="center"/>
        </w:trPr>
        <w:tc>
          <w:tcPr>
            <w:tcW w:w="5291" w:type="dxa"/>
            <w:vMerge w:val="restart"/>
            <w:tcBorders>
              <w:top w:val="single" w:color="auto" w:sz="4" w:space="0"/>
              <w:bottom w:val="single" w:color="auto" w:sz="4" w:space="0"/>
              <w:right w:val="single" w:color="auto" w:sz="4" w:space="0"/>
            </w:tcBorders>
            <w:vAlign w:val="center"/>
          </w:tcPr>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市级“五个一工程”奖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市级哲学社会科学优秀成果奖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市级教育研究成果奖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市自然科学优秀论文奖</w:t>
            </w:r>
          </w:p>
          <w:p>
            <w:pPr>
              <w:adjustRightInd w:val="0"/>
              <w:snapToGrid w:val="0"/>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厅级以上单位评选的科研论文奖</w:t>
            </w: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一等奖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3000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2"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二等奖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2" w:hRule="atLeast"/>
          <w:jc w:val="center"/>
        </w:trPr>
        <w:tc>
          <w:tcPr>
            <w:tcW w:w="5291" w:type="dxa"/>
            <w:vMerge w:val="continue"/>
            <w:tcBorders>
              <w:top w:val="single" w:color="auto" w:sz="4" w:space="0"/>
              <w:bottom w:val="single" w:color="auto" w:sz="4" w:space="0"/>
              <w:right w:val="single" w:color="auto" w:sz="4" w:space="0"/>
            </w:tcBorders>
            <w:vAlign w:val="center"/>
          </w:tcPr>
          <w:p>
            <w:pPr>
              <w:spacing w:line="360" w:lineRule="auto"/>
              <w:rPr>
                <w:rFonts w:ascii="宋体" w:cs="Arial"/>
                <w:color w:val="000000" w:themeColor="text1"/>
                <w:kern w:val="0"/>
                <w:sz w:val="24"/>
                <w:szCs w:val="24"/>
              </w:rPr>
            </w:pPr>
          </w:p>
        </w:tc>
        <w:tc>
          <w:tcPr>
            <w:tcW w:w="1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三等奖</w:t>
            </w:r>
          </w:p>
        </w:tc>
        <w:tc>
          <w:tcPr>
            <w:tcW w:w="1741" w:type="dxa"/>
            <w:tcBorders>
              <w:top w:val="single" w:color="auto" w:sz="4" w:space="0"/>
              <w:left w:val="single" w:color="auto" w:sz="4" w:space="0"/>
              <w:bottom w:val="single" w:color="auto" w:sz="4" w:space="0"/>
            </w:tcBorders>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w:t>
            </w:r>
          </w:p>
        </w:tc>
      </w:tr>
    </w:tbl>
    <w:p>
      <w:pPr>
        <w:adjustRightInd w:val="0"/>
        <w:snapToGrid w:val="0"/>
        <w:spacing w:line="360" w:lineRule="auto"/>
        <w:ind w:firstLine="417" w:firstLineChars="198"/>
        <w:rPr>
          <w:rFonts w:ascii="仿宋_GB2312" w:hAnsi="宋体" w:eastAsia="仿宋_GB2312" w:cs="Arial"/>
          <w:color w:val="000000" w:themeColor="text1"/>
          <w:kern w:val="0"/>
          <w:szCs w:val="21"/>
        </w:rPr>
      </w:pPr>
      <w:r>
        <w:rPr>
          <w:rFonts w:hint="eastAsia" w:ascii="仿宋_GB2312" w:hAnsi="宋体" w:eastAsia="仿宋_GB2312" w:cs="Arial"/>
          <w:b/>
          <w:color w:val="000000" w:themeColor="text1"/>
          <w:kern w:val="0"/>
          <w:szCs w:val="21"/>
        </w:rPr>
        <w:t>说明：</w:t>
      </w:r>
      <w:r>
        <w:rPr>
          <w:rFonts w:hint="eastAsia" w:ascii="仿宋_GB2312" w:hAnsi="宋体" w:eastAsia="仿宋_GB2312" w:cs="Arial"/>
          <w:color w:val="000000" w:themeColor="text1"/>
          <w:kern w:val="0"/>
          <w:szCs w:val="21"/>
        </w:rPr>
        <w:t>获奖科研成果指通过学校科研部门组织申报、我校为完成单位所获得的各级、各类科研成果奖励。省部级以上获奖科研成果系与其他单位合作完成、第一完成人不是我校的，按我校参加者在获奖证书上的成果完成人署名排序名次确定奖励比例。其中，国家级科研成果奖计算至第十完成人，省部级科研成果奖计算至第五完成人。我校教师作为第二完成人计算比例为</w:t>
      </w:r>
      <w:r>
        <w:rPr>
          <w:rFonts w:ascii="仿宋_GB2312" w:hAnsi="宋体" w:eastAsia="仿宋_GB2312" w:cs="Arial"/>
          <w:color w:val="000000" w:themeColor="text1"/>
          <w:kern w:val="0"/>
          <w:szCs w:val="21"/>
        </w:rPr>
        <w:t>60%</w:t>
      </w:r>
      <w:r>
        <w:rPr>
          <w:rFonts w:hint="eastAsia" w:ascii="仿宋_GB2312" w:hAnsi="宋体" w:eastAsia="仿宋_GB2312" w:cs="Arial"/>
          <w:color w:val="000000" w:themeColor="text1"/>
          <w:kern w:val="0"/>
          <w:szCs w:val="21"/>
        </w:rPr>
        <w:t>；第三完成人计算比例为</w:t>
      </w:r>
      <w:r>
        <w:rPr>
          <w:rFonts w:ascii="仿宋_GB2312" w:hAnsi="宋体" w:eastAsia="仿宋_GB2312" w:cs="Arial"/>
          <w:color w:val="000000" w:themeColor="text1"/>
          <w:kern w:val="0"/>
          <w:szCs w:val="21"/>
        </w:rPr>
        <w:t>50%</w:t>
      </w:r>
      <w:r>
        <w:rPr>
          <w:rFonts w:hint="eastAsia" w:ascii="仿宋_GB2312" w:hAnsi="宋体" w:eastAsia="仿宋_GB2312" w:cs="Arial"/>
          <w:color w:val="000000" w:themeColor="text1"/>
          <w:kern w:val="0"/>
          <w:szCs w:val="21"/>
        </w:rPr>
        <w:t>；第四完成人计算比例为</w:t>
      </w:r>
      <w:r>
        <w:rPr>
          <w:rFonts w:ascii="仿宋_GB2312" w:hAnsi="宋体" w:eastAsia="仿宋_GB2312" w:cs="Arial"/>
          <w:color w:val="000000" w:themeColor="text1"/>
          <w:kern w:val="0"/>
          <w:szCs w:val="21"/>
        </w:rPr>
        <w:t>40%</w:t>
      </w:r>
      <w:r>
        <w:rPr>
          <w:rFonts w:hint="eastAsia" w:ascii="仿宋_GB2312" w:hAnsi="宋体" w:eastAsia="仿宋_GB2312" w:cs="Arial"/>
          <w:color w:val="000000" w:themeColor="text1"/>
          <w:kern w:val="0"/>
          <w:szCs w:val="21"/>
        </w:rPr>
        <w:t>；第五完成人及以后的计算比例均为</w:t>
      </w:r>
      <w:r>
        <w:rPr>
          <w:rFonts w:ascii="仿宋_GB2312" w:hAnsi="宋体" w:eastAsia="仿宋_GB2312" w:cs="Arial"/>
          <w:color w:val="000000" w:themeColor="text1"/>
          <w:kern w:val="0"/>
          <w:szCs w:val="21"/>
        </w:rPr>
        <w:t>10%</w:t>
      </w:r>
      <w:r>
        <w:rPr>
          <w:rFonts w:hint="eastAsia" w:ascii="仿宋_GB2312" w:hAnsi="宋体" w:eastAsia="仿宋_GB2312" w:cs="Arial"/>
          <w:color w:val="000000" w:themeColor="text1"/>
          <w:kern w:val="0"/>
          <w:szCs w:val="21"/>
        </w:rPr>
        <w:t>。其他政府奖励参照上述标准执行。</w:t>
      </w:r>
    </w:p>
    <w:p>
      <w:pPr>
        <w:adjustRightInd w:val="0"/>
        <w:snapToGrid w:val="0"/>
        <w:spacing w:line="360" w:lineRule="auto"/>
        <w:rPr>
          <w:rFonts w:ascii="宋体" w:cs="Arial"/>
          <w:color w:val="000000" w:themeColor="text1"/>
          <w:kern w:val="0"/>
          <w:sz w:val="24"/>
          <w:szCs w:val="24"/>
        </w:rPr>
      </w:pPr>
      <w:r>
        <w:rPr>
          <w:rFonts w:ascii="宋体" w:hAnsi="宋体" w:cs="Arial"/>
          <w:color w:val="000000" w:themeColor="text1"/>
          <w:kern w:val="0"/>
          <w:sz w:val="24"/>
          <w:szCs w:val="24"/>
        </w:rPr>
        <w:t xml:space="preserve">    4. </w:t>
      </w:r>
      <w:r>
        <w:rPr>
          <w:rFonts w:hint="eastAsia" w:ascii="宋体" w:hAnsi="宋体" w:cs="Arial"/>
          <w:color w:val="000000" w:themeColor="text1"/>
          <w:kern w:val="0"/>
          <w:sz w:val="24"/>
          <w:szCs w:val="24"/>
        </w:rPr>
        <w:t>科技发明及其他类</w:t>
      </w:r>
    </w:p>
    <w:tbl>
      <w:tblPr>
        <w:tblStyle w:val="13"/>
        <w:tblW w:w="7994"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6"/>
        <w:gridCol w:w="3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4386"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w:t>
            </w:r>
            <w:r>
              <w:rPr>
                <w:rFonts w:ascii="宋体" w:hAnsi="宋体" w:cs="Arial"/>
                <w:b/>
                <w:color w:val="000000" w:themeColor="text1"/>
                <w:kern w:val="0"/>
                <w:sz w:val="24"/>
                <w:szCs w:val="24"/>
              </w:rPr>
              <w:t xml:space="preserve">          </w:t>
            </w:r>
            <w:r>
              <w:rPr>
                <w:rFonts w:hint="eastAsia" w:ascii="宋体" w:hAnsi="宋体" w:cs="Arial"/>
                <w:b/>
                <w:color w:val="000000" w:themeColor="text1"/>
                <w:kern w:val="0"/>
                <w:sz w:val="24"/>
                <w:szCs w:val="24"/>
              </w:rPr>
              <w:t>目</w:t>
            </w:r>
          </w:p>
        </w:tc>
        <w:tc>
          <w:tcPr>
            <w:tcW w:w="3608" w:type="dxa"/>
            <w:vAlign w:val="center"/>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奖励金额（元</w:t>
            </w:r>
            <w:r>
              <w:rPr>
                <w:rFonts w:ascii="宋体" w:hAnsi="宋体" w:cs="Arial"/>
                <w:b/>
                <w:color w:val="000000" w:themeColor="text1"/>
                <w:kern w:val="0"/>
                <w:sz w:val="24"/>
                <w:szCs w:val="24"/>
              </w:rPr>
              <w:t>/</w:t>
            </w:r>
            <w:r>
              <w:rPr>
                <w:rFonts w:hint="eastAsia" w:ascii="宋体" w:hAnsi="宋体" w:cs="Arial"/>
                <w:b/>
                <w:color w:val="000000" w:themeColor="text1"/>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4386"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国家发明专利（职务发明）</w:t>
            </w:r>
          </w:p>
        </w:tc>
        <w:tc>
          <w:tcPr>
            <w:tcW w:w="3608"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4386"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国家实用新型专利（职务发明）</w:t>
            </w:r>
          </w:p>
        </w:tc>
        <w:tc>
          <w:tcPr>
            <w:tcW w:w="3608"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4386"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外观设计专利、计算机软件著作权登记</w:t>
            </w:r>
          </w:p>
        </w:tc>
        <w:tc>
          <w:tcPr>
            <w:tcW w:w="3608"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w:t>
            </w:r>
          </w:p>
        </w:tc>
      </w:tr>
    </w:tbl>
    <w:p>
      <w:pPr>
        <w:spacing w:line="360" w:lineRule="auto"/>
        <w:ind w:firstLine="422" w:firstLineChars="200"/>
        <w:rPr>
          <w:rFonts w:ascii="仿宋_GB2312" w:hAnsi="宋体" w:eastAsia="仿宋_GB2312" w:cs="Arial"/>
          <w:color w:val="000000" w:themeColor="text1"/>
          <w:kern w:val="0"/>
          <w:szCs w:val="21"/>
        </w:rPr>
      </w:pPr>
      <w:r>
        <w:rPr>
          <w:rFonts w:hint="eastAsia" w:ascii="仿宋_GB2312" w:hAnsi="宋体" w:eastAsia="仿宋_GB2312" w:cs="Arial"/>
          <w:b/>
          <w:color w:val="000000" w:themeColor="text1"/>
          <w:kern w:val="0"/>
          <w:szCs w:val="21"/>
        </w:rPr>
        <w:t>说明：</w:t>
      </w:r>
      <w:r>
        <w:rPr>
          <w:rFonts w:hint="eastAsia" w:ascii="仿宋_GB2312" w:hAnsi="宋体" w:eastAsia="仿宋_GB2312" w:cs="Arial"/>
          <w:color w:val="000000" w:themeColor="text1"/>
          <w:kern w:val="0"/>
          <w:szCs w:val="21"/>
        </w:rPr>
        <w:t>泰州学院必须为第一专利权人。</w:t>
      </w:r>
    </w:p>
    <w:p>
      <w:pPr>
        <w:spacing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5. </w:t>
      </w:r>
      <w:r>
        <w:rPr>
          <w:rFonts w:hint="eastAsia" w:ascii="宋体" w:hAnsi="宋体" w:cs="Arial"/>
          <w:color w:val="000000" w:themeColor="text1"/>
          <w:kern w:val="0"/>
          <w:sz w:val="24"/>
          <w:szCs w:val="24"/>
        </w:rPr>
        <w:t>决策咨询报告</w:t>
      </w:r>
    </w:p>
    <w:tbl>
      <w:tblPr>
        <w:tblStyle w:val="13"/>
        <w:tblW w:w="8034"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1"/>
        <w:gridCol w:w="3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4721" w:type="dxa"/>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w:t>
            </w:r>
            <w:r>
              <w:rPr>
                <w:rFonts w:ascii="宋体" w:hAnsi="宋体" w:cs="Arial"/>
                <w:b/>
                <w:color w:val="000000" w:themeColor="text1"/>
                <w:kern w:val="0"/>
                <w:sz w:val="24"/>
                <w:szCs w:val="24"/>
              </w:rPr>
              <w:t xml:space="preserve">          </w:t>
            </w:r>
            <w:r>
              <w:rPr>
                <w:rFonts w:hint="eastAsia" w:ascii="宋体" w:hAnsi="宋体" w:cs="Arial"/>
                <w:b/>
                <w:color w:val="000000" w:themeColor="text1"/>
                <w:kern w:val="0"/>
                <w:sz w:val="24"/>
                <w:szCs w:val="24"/>
              </w:rPr>
              <w:t>目</w:t>
            </w:r>
          </w:p>
        </w:tc>
        <w:tc>
          <w:tcPr>
            <w:tcW w:w="3313" w:type="dxa"/>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奖励金额（元</w:t>
            </w:r>
            <w:r>
              <w:rPr>
                <w:rFonts w:ascii="宋体" w:hAnsi="宋体" w:cs="Arial"/>
                <w:b/>
                <w:color w:val="000000" w:themeColor="text1"/>
                <w:kern w:val="0"/>
                <w:sz w:val="24"/>
                <w:szCs w:val="24"/>
              </w:rPr>
              <w:t>/</w:t>
            </w:r>
            <w:r>
              <w:rPr>
                <w:rFonts w:hint="eastAsia" w:ascii="宋体" w:hAnsi="宋体" w:cs="Arial"/>
                <w:b/>
                <w:color w:val="000000" w:themeColor="text1"/>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4721" w:type="dxa"/>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国家领导人亲笔批示并被采纳</w:t>
            </w:r>
          </w:p>
        </w:tc>
        <w:tc>
          <w:tcPr>
            <w:tcW w:w="3313"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4721" w:type="dxa"/>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省部级领导人亲笔批示并被采纳</w:t>
            </w:r>
          </w:p>
        </w:tc>
        <w:tc>
          <w:tcPr>
            <w:tcW w:w="3313"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 w:hRule="atLeast"/>
          <w:jc w:val="center"/>
        </w:trPr>
        <w:tc>
          <w:tcPr>
            <w:tcW w:w="4721" w:type="dxa"/>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市厅级领导人亲笔批示并被采纳</w:t>
            </w:r>
          </w:p>
        </w:tc>
        <w:tc>
          <w:tcPr>
            <w:tcW w:w="3313" w:type="dxa"/>
            <w:vAlign w:val="center"/>
          </w:tcPr>
          <w:p>
            <w:pPr>
              <w:spacing w:line="360" w:lineRule="auto"/>
              <w:jc w:val="center"/>
              <w:rPr>
                <w:rFonts w:ascii="宋体" w:hAnsi="宋体" w:cs="Arial"/>
                <w:color w:val="000000" w:themeColor="text1"/>
                <w:kern w:val="0"/>
                <w:sz w:val="24"/>
                <w:szCs w:val="24"/>
              </w:rPr>
            </w:pPr>
            <w:r>
              <w:rPr>
                <w:rFonts w:ascii="宋体" w:hAnsi="宋体" w:cs="Arial"/>
                <w:color w:val="000000" w:themeColor="text1"/>
                <w:kern w:val="0"/>
                <w:sz w:val="24"/>
                <w:szCs w:val="24"/>
              </w:rPr>
              <w:t>5000</w:t>
            </w:r>
          </w:p>
        </w:tc>
      </w:tr>
    </w:tbl>
    <w:p>
      <w:pPr>
        <w:spacing w:beforeLines="50" w:afterLines="50" w:line="360" w:lineRule="auto"/>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 xml:space="preserve">6. </w:t>
      </w:r>
      <w:r>
        <w:rPr>
          <w:rFonts w:hint="eastAsia" w:ascii="宋体" w:hAnsi="宋体" w:cs="Arial"/>
          <w:color w:val="000000" w:themeColor="text1"/>
          <w:kern w:val="0"/>
          <w:sz w:val="24"/>
          <w:szCs w:val="24"/>
        </w:rPr>
        <w:t>创作类成果</w:t>
      </w:r>
    </w:p>
    <w:tbl>
      <w:tblPr>
        <w:tblStyle w:val="13"/>
        <w:tblW w:w="8034"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418"/>
        <w:gridCol w:w="5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2413" w:type="dxa"/>
            <w:gridSpan w:val="2"/>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项</w:t>
            </w:r>
            <w:r>
              <w:rPr>
                <w:rFonts w:ascii="宋体" w:hAnsi="宋体" w:cs="Arial"/>
                <w:b/>
                <w:color w:val="000000" w:themeColor="text1"/>
                <w:kern w:val="0"/>
                <w:sz w:val="24"/>
                <w:szCs w:val="24"/>
              </w:rPr>
              <w:t xml:space="preserve">          </w:t>
            </w:r>
            <w:r>
              <w:rPr>
                <w:rFonts w:hint="eastAsia" w:ascii="宋体" w:hAnsi="宋体" w:cs="Arial"/>
                <w:b/>
                <w:color w:val="000000" w:themeColor="text1"/>
                <w:kern w:val="0"/>
                <w:sz w:val="24"/>
                <w:szCs w:val="24"/>
              </w:rPr>
              <w:t>目</w:t>
            </w:r>
          </w:p>
        </w:tc>
        <w:tc>
          <w:tcPr>
            <w:tcW w:w="5621" w:type="dxa"/>
          </w:tcPr>
          <w:p>
            <w:pPr>
              <w:spacing w:line="360" w:lineRule="auto"/>
              <w:jc w:val="center"/>
              <w:rPr>
                <w:rFonts w:ascii="宋体" w:cs="Arial"/>
                <w:b/>
                <w:color w:val="000000" w:themeColor="text1"/>
                <w:kern w:val="0"/>
                <w:sz w:val="24"/>
                <w:szCs w:val="24"/>
              </w:rPr>
            </w:pPr>
            <w:r>
              <w:rPr>
                <w:rFonts w:hint="eastAsia" w:ascii="宋体" w:hAnsi="宋体" w:cs="Arial"/>
                <w:b/>
                <w:color w:val="000000" w:themeColor="text1"/>
                <w:kern w:val="0"/>
                <w:sz w:val="24"/>
                <w:szCs w:val="24"/>
              </w:rPr>
              <w:t>奖励办法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restart"/>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文学创作成果</w:t>
            </w: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发表奖励</w:t>
            </w:r>
          </w:p>
        </w:tc>
        <w:tc>
          <w:tcPr>
            <w:tcW w:w="5621" w:type="dxa"/>
            <w:vAlign w:val="center"/>
          </w:tcPr>
          <w:p>
            <w:pPr>
              <w:adjustRightInd w:val="0"/>
              <w:snapToGrid w:val="0"/>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发表在《人民文学》（月刊）、《小说月报》（月刊）上的作品分别参照权威二类期刊、</w:t>
            </w:r>
            <w:r>
              <w:rPr>
                <w:rFonts w:ascii="宋体" w:hAnsi="宋体" w:cs="Arial"/>
                <w:color w:val="000000" w:themeColor="text1"/>
                <w:kern w:val="0"/>
                <w:sz w:val="24"/>
                <w:szCs w:val="24"/>
              </w:rPr>
              <w:t>CSSCI</w:t>
            </w:r>
            <w:r>
              <w:rPr>
                <w:rFonts w:hint="eastAsia" w:ascii="宋体" w:hAnsi="宋体" w:cs="Arial"/>
                <w:color w:val="000000" w:themeColor="text1"/>
                <w:kern w:val="0"/>
                <w:sz w:val="24"/>
                <w:szCs w:val="24"/>
              </w:rPr>
              <w:t>期刊论文进行奖励。发表在《钟山》（双月刊）、《作品与争鸣》上作品参照核心期刊论文奖励。</w:t>
            </w:r>
          </w:p>
          <w:p>
            <w:pPr>
              <w:adjustRightInd w:val="0"/>
              <w:snapToGrid w:val="0"/>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其它：长篇小说每部奖励</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元；作品集每部奖励</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备注：围绕同一主题的系列作品（如小说），按</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篇计算；刊登在同一出版物的创作类作品无论数量多少，均按</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篇（幅）计算。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获奖配套奖励</w:t>
            </w:r>
          </w:p>
        </w:tc>
        <w:tc>
          <w:tcPr>
            <w:tcW w:w="5621" w:type="dxa"/>
            <w:vAlign w:val="center"/>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获得中央有关部门（中国文联、文化部、教育部）颁发的最高专业学术奖项（如茅盾文学奖、鲁迅文学奖等），按获奖资金数额</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配套奖励。</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获得江苏省委宣传部、江苏省文化厅、江苏省文联和江苏省级一级协会（学会）颁发的学术奖励，按获奖奖金数额</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0.5</w:t>
            </w:r>
            <w:r>
              <w:rPr>
                <w:rFonts w:hint="eastAsia" w:ascii="宋体" w:hAnsi="宋体" w:cs="Arial"/>
                <w:color w:val="000000" w:themeColor="text1"/>
                <w:kern w:val="0"/>
                <w:sz w:val="24"/>
                <w:szCs w:val="24"/>
              </w:rPr>
              <w:t>配套奖励。若奖项无奖励金额的，则按一等奖（金奖）</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元、二等奖（银奖）</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元、三等奖（铜奖）</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元进行奖励。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restart"/>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艺术类创作成果</w:t>
            </w: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发表文本型艺术作品的奖励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文本型音乐作品：在专业刊物上正式发表，按作品发表的学术刊物等级给予奖励；正式出版的个人文型音乐作品集，参照学业术专著奖励标准进行奖励；文本型音乐作品被其他作品集收编出版的，参照编著的奖励标准进行奖励；非本人作品的其他文本型音乐作品集不予奖励。同一作品不重复奖励，已按低标准进行过奖励的，按就高不就低的原则补足差额。</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文本型美术作品：在学术期刊上发表美术研究论文，按学术期刊榜中美术期刊的等级给予奖励；在学术期刊上发表的美术作品，根据作品所占版面的大小，按以下公式确定奖励金额：相应等级论文奖励金额×版面系数</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作品奖励金额。整版插图，版面系数为</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，二分之一版面，版面系数为</w:t>
            </w:r>
            <w:r>
              <w:rPr>
                <w:rFonts w:ascii="宋体" w:hAnsi="宋体" w:cs="Arial"/>
                <w:color w:val="000000" w:themeColor="text1"/>
                <w:kern w:val="0"/>
                <w:sz w:val="24"/>
                <w:szCs w:val="24"/>
              </w:rPr>
              <w:t>0.5</w:t>
            </w:r>
            <w:r>
              <w:rPr>
                <w:rFonts w:hint="eastAsia" w:ascii="宋体" w:hAnsi="宋体" w:cs="Arial"/>
                <w:color w:val="000000" w:themeColor="text1"/>
                <w:kern w:val="0"/>
                <w:sz w:val="24"/>
                <w:szCs w:val="24"/>
              </w:rPr>
              <w:t>，以此类推，而且同一作品只奖励一次，如被更高级别期刊引用，补足奖金差额；正式出版的个人美术类作品，参照编著进行奖励，每部奖励</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音像带、唱片、</w:t>
            </w:r>
            <w:r>
              <w:rPr>
                <w:rFonts w:ascii="宋体" w:hAnsi="宋体" w:cs="Arial"/>
                <w:color w:val="000000" w:themeColor="text1"/>
                <w:kern w:val="0"/>
                <w:sz w:val="24"/>
                <w:szCs w:val="24"/>
              </w:rPr>
              <w:t>CD</w:t>
            </w:r>
            <w:r>
              <w:rPr>
                <w:rFonts w:hint="eastAsia" w:ascii="宋体" w:hAnsi="宋体" w:cs="Arial"/>
                <w:color w:val="000000" w:themeColor="text1"/>
                <w:kern w:val="0"/>
                <w:sz w:val="24"/>
                <w:szCs w:val="24"/>
              </w:rPr>
              <w:t>等个人音乐舞蹈专辑的奖励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由中国音乐音像出版社、中国唱片总公司、中国广播音像出版社收编并出版发行的，奖励</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元；由省级音像出版社（公司）出版发行的，奖励</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音乐表演（声乐、器乐）、音乐舞蹈作品首播奖励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在中央电视台、中央人民广播电台、中国教育电视台等国家级传媒首次播出的，奖励</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元；在省级电视台、省级人民广播电台等国家级传媒首次播出的，奖励</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元。同一作品在国家级传媒和省级传媒首次播出，不重复奖励。已按低标准进行过奖励的，按就高不就低的原则补足差额。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美术作品参赛奖励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参加法国沙龙展、威尼斯国际艺术双年展、德国设计双年展展出的作品，参加戛纳国际广告节、世界之星设计大赛、亚洲之星设计大赛并获奖的作品，为大型国际性活动（如奥运会、世博会、亚运会等）设计中标的标志及形象宣传作品，每件奖励</w:t>
            </w:r>
            <w:r>
              <w:rPr>
                <w:rFonts w:ascii="宋体" w:hAnsi="宋体" w:cs="Arial"/>
                <w:color w:val="000000" w:themeColor="text1"/>
                <w:kern w:val="0"/>
                <w:sz w:val="24"/>
                <w:szCs w:val="24"/>
              </w:rPr>
              <w:t>50000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艺术作品获奖的配套奖励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国家级作品奖。由中央各部门（中宣部、文化部、教育部、广播电视部、中国文联、中央电视台、中国美术家协会、中国书法家协会、</w:t>
            </w:r>
            <w:r>
              <w:rPr>
                <w:rFonts w:hint="eastAsia" w:ascii="宋体" w:hAnsi="宋体" w:cs="宋体"/>
                <w:sz w:val="24"/>
                <w:szCs w:val="24"/>
              </w:rPr>
              <w:t>中国音乐家协会、中国舞蹈家协会、中国戏剧家协会</w:t>
            </w:r>
            <w:r>
              <w:rPr>
                <w:rFonts w:hint="eastAsia" w:ascii="宋体" w:hAnsi="宋体" w:cs="Arial"/>
                <w:color w:val="000000" w:themeColor="text1"/>
                <w:kern w:val="0"/>
                <w:sz w:val="24"/>
                <w:szCs w:val="24"/>
              </w:rPr>
              <w:t>）组织专家评选并颁发的音乐、美术、书法、舞蹈、戏剧、艺术设计等领域的最高专业学术奖励。按获奖奖金额数</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配套奖励。若奖项无奖励金额的，则按下列标准奖励：按一等奖（金奖）</w:t>
            </w:r>
            <w:r>
              <w:rPr>
                <w:rFonts w:ascii="宋体" w:hAnsi="宋体" w:cs="Arial"/>
                <w:color w:val="000000" w:themeColor="text1"/>
                <w:kern w:val="0"/>
                <w:sz w:val="24"/>
                <w:szCs w:val="24"/>
              </w:rPr>
              <w:t>30000</w:t>
            </w:r>
            <w:r>
              <w:rPr>
                <w:rFonts w:hint="eastAsia" w:ascii="宋体" w:hAnsi="宋体" w:cs="Arial"/>
                <w:color w:val="000000" w:themeColor="text1"/>
                <w:kern w:val="0"/>
                <w:sz w:val="24"/>
                <w:szCs w:val="24"/>
              </w:rPr>
              <w:t>元、二等奖（银奖）</w:t>
            </w:r>
            <w:r>
              <w:rPr>
                <w:rFonts w:ascii="宋体" w:hAnsi="宋体" w:cs="Arial"/>
                <w:color w:val="000000" w:themeColor="text1"/>
                <w:kern w:val="0"/>
                <w:sz w:val="24"/>
                <w:szCs w:val="24"/>
              </w:rPr>
              <w:t>20000</w:t>
            </w:r>
            <w:r>
              <w:rPr>
                <w:rFonts w:hint="eastAsia" w:ascii="宋体" w:hAnsi="宋体" w:cs="Arial"/>
                <w:color w:val="000000" w:themeColor="text1"/>
                <w:kern w:val="0"/>
                <w:sz w:val="24"/>
                <w:szCs w:val="24"/>
              </w:rPr>
              <w:t>元、三等奖（铜奖）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元进行奖励。</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省级作品奖。由江苏省委宣传部、江苏省文化厅、江苏省教育厅、江苏省文联、江苏省美协、江苏省书协、江苏省</w:t>
            </w:r>
            <w:r>
              <w:rPr>
                <w:rFonts w:hint="eastAsia" w:ascii="宋体" w:hAnsi="宋体" w:cs="宋体"/>
                <w:sz w:val="24"/>
                <w:szCs w:val="24"/>
              </w:rPr>
              <w:t>音协、</w:t>
            </w:r>
            <w:r>
              <w:rPr>
                <w:rFonts w:hint="eastAsia" w:ascii="宋体" w:hAnsi="宋体" w:cs="Arial"/>
                <w:color w:val="000000" w:themeColor="text1"/>
                <w:kern w:val="0"/>
                <w:sz w:val="24"/>
                <w:szCs w:val="24"/>
              </w:rPr>
              <w:t>江苏省</w:t>
            </w:r>
            <w:r>
              <w:rPr>
                <w:rFonts w:hint="eastAsia" w:ascii="宋体" w:hAnsi="宋体" w:cs="宋体"/>
                <w:sz w:val="24"/>
                <w:szCs w:val="24"/>
              </w:rPr>
              <w:t>舞协、</w:t>
            </w:r>
            <w:r>
              <w:rPr>
                <w:rFonts w:hint="eastAsia" w:ascii="宋体" w:hAnsi="宋体" w:cs="Arial"/>
                <w:color w:val="000000" w:themeColor="text1"/>
                <w:kern w:val="0"/>
                <w:sz w:val="24"/>
                <w:szCs w:val="24"/>
              </w:rPr>
              <w:t>江苏省</w:t>
            </w:r>
            <w:r>
              <w:rPr>
                <w:rFonts w:hint="eastAsia" w:ascii="宋体" w:hAnsi="宋体" w:cs="宋体"/>
                <w:sz w:val="24"/>
                <w:szCs w:val="24"/>
              </w:rPr>
              <w:t>剧协</w:t>
            </w:r>
            <w:r>
              <w:rPr>
                <w:rFonts w:hint="eastAsia" w:ascii="宋体" w:hAnsi="宋体" w:cs="Arial"/>
                <w:color w:val="000000" w:themeColor="text1"/>
                <w:kern w:val="0"/>
                <w:sz w:val="24"/>
                <w:szCs w:val="24"/>
              </w:rPr>
              <w:t>等省一级协会（学会）颁发的音乐、美术、书法、舞蹈、戏剧、艺术设计等领域的学术奖项。按获奖奖金额数</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0.5</w:t>
            </w:r>
            <w:r>
              <w:rPr>
                <w:rFonts w:hint="eastAsia" w:ascii="宋体" w:hAnsi="宋体" w:cs="Arial"/>
                <w:color w:val="000000" w:themeColor="text1"/>
                <w:kern w:val="0"/>
                <w:sz w:val="24"/>
                <w:szCs w:val="24"/>
              </w:rPr>
              <w:t>配套奖励。若奖项无奖励金额的，则按下列标准奖励：一等奖（金奖）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元、二等奖（银奖）</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元、三等奖（铜奖）</w:t>
            </w:r>
            <w:r>
              <w:rPr>
                <w:rFonts w:ascii="宋体" w:hAnsi="宋体" w:cs="Arial"/>
                <w:color w:val="000000" w:themeColor="text1"/>
                <w:kern w:val="0"/>
                <w:sz w:val="24"/>
                <w:szCs w:val="24"/>
              </w:rPr>
              <w:t>2000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入选（围）奖。入选（围）全国美术作品展（中国美协、每五年一届）奖励20</w:t>
            </w:r>
            <w:r>
              <w:rPr>
                <w:rFonts w:ascii="宋体" w:hAnsi="宋体" w:cs="Arial"/>
                <w:color w:val="000000" w:themeColor="text1"/>
                <w:kern w:val="0"/>
                <w:sz w:val="24"/>
                <w:szCs w:val="24"/>
              </w:rPr>
              <w:t>000</w:t>
            </w:r>
            <w:r>
              <w:rPr>
                <w:rFonts w:hint="eastAsia" w:ascii="宋体" w:hAnsi="宋体" w:cs="Arial"/>
                <w:color w:val="000000" w:themeColor="text1"/>
                <w:kern w:val="0"/>
                <w:sz w:val="24"/>
                <w:szCs w:val="24"/>
              </w:rPr>
              <w:t>元；全国书法篆刻展（中国书协，每四年一届）、全国漆画展（中国美协，每四年一届）、音乐金钟奖（理论类，每两年一届）等国家级常设展演的艺术作品或音乐论文，奖励10</w:t>
            </w:r>
            <w:r>
              <w:rPr>
                <w:rFonts w:ascii="宋体" w:hAnsi="宋体" w:cs="Arial"/>
                <w:color w:val="000000" w:themeColor="text1"/>
                <w:kern w:val="0"/>
                <w:sz w:val="24"/>
                <w:szCs w:val="24"/>
              </w:rPr>
              <w:t>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restart"/>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新闻传媒类创作成果</w:t>
            </w: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奖励范围</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符合本办法奖励对象的人员作为主创人员，参与影视剧作品的编剧、导演、主演、摄影、录音、美工、音乐、剪辑等，以及参与广播电视节目的策划、撰稿、编辑等。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学术成果奖励</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新闻传媒类学术成果，按照学术论文、论著奖励办法进行奖励。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995" w:type="dxa"/>
            <w:vMerge w:val="continue"/>
          </w:tcPr>
          <w:p>
            <w:pPr>
              <w:spacing w:line="360" w:lineRule="auto"/>
              <w:rPr>
                <w:rFonts w:ascii="宋体" w:cs="Arial"/>
                <w:color w:val="000000" w:themeColor="text1"/>
                <w:kern w:val="0"/>
                <w:sz w:val="24"/>
                <w:szCs w:val="24"/>
              </w:rPr>
            </w:pPr>
          </w:p>
        </w:tc>
        <w:tc>
          <w:tcPr>
            <w:tcW w:w="1418" w:type="dxa"/>
            <w:vAlign w:val="center"/>
          </w:tcPr>
          <w:p>
            <w:pPr>
              <w:spacing w:line="360" w:lineRule="auto"/>
              <w:rPr>
                <w:rFonts w:ascii="宋体" w:cs="Arial"/>
                <w:color w:val="000000" w:themeColor="text1"/>
                <w:kern w:val="0"/>
                <w:sz w:val="24"/>
                <w:szCs w:val="24"/>
              </w:rPr>
            </w:pPr>
            <w:r>
              <w:rPr>
                <w:rFonts w:hint="eastAsia" w:ascii="宋体" w:hAnsi="宋体" w:cs="Arial"/>
                <w:color w:val="000000" w:themeColor="text1"/>
                <w:kern w:val="0"/>
                <w:sz w:val="24"/>
                <w:szCs w:val="24"/>
              </w:rPr>
              <w:t>其它成果</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在国内外权威摄影刊物上发表摄影作品（单幅，或组照），根据作品所占版面的大小，按以下公式确定奖励金额：相应等级论文奖励金额×版面系数</w:t>
            </w:r>
            <w:r>
              <w:rPr>
                <w:rFonts w:ascii="宋体" w:hAnsi="宋体" w:cs="Arial"/>
                <w:color w:val="000000" w:themeColor="text1"/>
                <w:kern w:val="0"/>
                <w:sz w:val="24"/>
                <w:szCs w:val="24"/>
              </w:rPr>
              <w:t>=</w:t>
            </w:r>
            <w:r>
              <w:rPr>
                <w:rFonts w:hint="eastAsia" w:ascii="宋体" w:hAnsi="宋体" w:cs="Arial"/>
                <w:color w:val="000000" w:themeColor="text1"/>
                <w:kern w:val="0"/>
                <w:sz w:val="24"/>
                <w:szCs w:val="24"/>
              </w:rPr>
              <w:t>作品奖励金额。整版插图，版面系数为</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，二分之一版面，版面系数为</w:t>
            </w:r>
            <w:r>
              <w:rPr>
                <w:rFonts w:ascii="宋体" w:hAnsi="宋体" w:cs="Arial"/>
                <w:color w:val="000000" w:themeColor="text1"/>
                <w:kern w:val="0"/>
                <w:sz w:val="24"/>
                <w:szCs w:val="24"/>
              </w:rPr>
              <w:t>0.5</w:t>
            </w:r>
            <w:r>
              <w:rPr>
                <w:rFonts w:hint="eastAsia" w:ascii="宋体" w:hAnsi="宋体" w:cs="Arial"/>
                <w:color w:val="000000" w:themeColor="text1"/>
                <w:kern w:val="0"/>
                <w:sz w:val="24"/>
                <w:szCs w:val="24"/>
              </w:rPr>
              <w:t>，以此类推。同一作品只奖励一次，被更高级别期刊引用，补足奖金差额。</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获得国际级权威摄影展览、摄影比赛、电影电视节、广告大赛、设计大赛等奖项的：一等奖奖励</w:t>
            </w:r>
            <w:r>
              <w:rPr>
                <w:rFonts w:ascii="宋体" w:hAnsi="宋体" w:cs="Arial"/>
                <w:color w:val="000000" w:themeColor="text1"/>
                <w:kern w:val="0"/>
                <w:sz w:val="24"/>
                <w:szCs w:val="24"/>
              </w:rPr>
              <w:t>20000</w:t>
            </w:r>
            <w:r>
              <w:rPr>
                <w:rFonts w:hint="eastAsia" w:ascii="宋体" w:hAnsi="宋体" w:cs="Arial"/>
                <w:color w:val="000000" w:themeColor="text1"/>
                <w:kern w:val="0"/>
                <w:sz w:val="24"/>
                <w:szCs w:val="24"/>
              </w:rPr>
              <w:t>元，二等奖奖励</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元；获得由文化部、广电局、中央电视台等中央部委或国家一级学会（协会）等组织的权威摄影展览、摄影比赛、电影电视节、广告大赛、设计大赛等奖项的，一等奖奖励</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元，二等奖奖励</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新闻传媒类成果获奖配套奖励。获得中宣部“五个一工程奖”，按获奖奖金额</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5</w:t>
            </w:r>
            <w:r>
              <w:rPr>
                <w:rFonts w:hint="eastAsia" w:ascii="宋体" w:hAnsi="宋体" w:cs="Arial"/>
                <w:color w:val="000000" w:themeColor="text1"/>
                <w:kern w:val="0"/>
                <w:sz w:val="24"/>
                <w:szCs w:val="24"/>
              </w:rPr>
              <w:t>配套奖励；获得“中国广播影视大奖”（广电总局、中国广播电视协会主办）、“文华奖”（文化部主办）、“夏衍杯”（广电总局），按获奖奖金数额</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配套奖励。若奖励无奖励金额的，按下列标准奖励：一等奖（金奖）</w:t>
            </w:r>
            <w:r>
              <w:rPr>
                <w:rFonts w:ascii="宋体" w:hAnsi="宋体" w:cs="Arial"/>
                <w:color w:val="000000" w:themeColor="text1"/>
                <w:kern w:val="0"/>
                <w:sz w:val="24"/>
                <w:szCs w:val="24"/>
              </w:rPr>
              <w:t>30000</w:t>
            </w:r>
            <w:r>
              <w:rPr>
                <w:rFonts w:hint="eastAsia" w:ascii="宋体" w:hAnsi="宋体" w:cs="Arial"/>
                <w:color w:val="000000" w:themeColor="text1"/>
                <w:kern w:val="0"/>
                <w:sz w:val="24"/>
                <w:szCs w:val="24"/>
              </w:rPr>
              <w:t>元，二等奖（银奖）</w:t>
            </w:r>
            <w:r>
              <w:rPr>
                <w:rFonts w:ascii="宋体" w:hAnsi="宋体" w:cs="Arial"/>
                <w:color w:val="000000" w:themeColor="text1"/>
                <w:kern w:val="0"/>
                <w:sz w:val="24"/>
                <w:szCs w:val="24"/>
              </w:rPr>
              <w:t>20000</w:t>
            </w:r>
            <w:r>
              <w:rPr>
                <w:rFonts w:hint="eastAsia" w:ascii="宋体" w:hAnsi="宋体" w:cs="Arial"/>
                <w:color w:val="000000" w:themeColor="text1"/>
                <w:kern w:val="0"/>
                <w:sz w:val="24"/>
                <w:szCs w:val="24"/>
              </w:rPr>
              <w:t>元，三等奖（铜奖）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元，单项奖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元。获得由省委宣传部、省文化厅、省教育厅、省广电局等部门组织的学术奖项，按获奖奖金数额</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0.5</w:t>
            </w:r>
            <w:r>
              <w:rPr>
                <w:rFonts w:hint="eastAsia" w:ascii="宋体" w:hAnsi="宋体" w:cs="Arial"/>
                <w:color w:val="000000" w:themeColor="text1"/>
                <w:kern w:val="0"/>
                <w:sz w:val="24"/>
                <w:szCs w:val="24"/>
              </w:rPr>
              <w:t>配套奖励。若奖励无奖励金额的，按下列标准奖励：一等奖（金奖）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元、二等奖（银奖）</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元、三等奖（铜奖</w:t>
            </w:r>
            <w:r>
              <w:rPr>
                <w:rFonts w:ascii="宋体" w:hAnsi="宋体" w:cs="Arial"/>
                <w:color w:val="000000" w:themeColor="text1"/>
                <w:kern w:val="0"/>
                <w:sz w:val="24"/>
                <w:szCs w:val="24"/>
              </w:rPr>
              <w:t>2000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2413" w:type="dxa"/>
            <w:gridSpan w:val="2"/>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体育参赛成果</w:t>
            </w:r>
          </w:p>
        </w:tc>
        <w:tc>
          <w:tcPr>
            <w:tcW w:w="5621" w:type="dxa"/>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本校体育教师指导本校学生参加体育比赛并获奖，按照下列标准予以奖励：</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）获得奥林匹克运动会、世界锦标赛、世界大学生运动会、亚洲运动会等国际和洲际比赛第</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50000</w:t>
            </w:r>
            <w:r>
              <w:rPr>
                <w:rFonts w:hint="eastAsia" w:ascii="宋体" w:hAnsi="宋体" w:cs="Arial"/>
                <w:color w:val="000000" w:themeColor="text1"/>
                <w:kern w:val="0"/>
                <w:sz w:val="24"/>
                <w:szCs w:val="24"/>
              </w:rPr>
              <w:t>元；第</w:t>
            </w:r>
            <w:r>
              <w:rPr>
                <w:rFonts w:ascii="宋体" w:hAnsi="宋体" w:cs="Arial"/>
                <w:color w:val="000000" w:themeColor="text1"/>
                <w:kern w:val="0"/>
                <w:sz w:val="24"/>
                <w:szCs w:val="24"/>
              </w:rPr>
              <w:t>2-3</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20000</w:t>
            </w:r>
            <w:r>
              <w:rPr>
                <w:rFonts w:hint="eastAsia" w:ascii="宋体" w:hAnsi="宋体" w:cs="Arial"/>
                <w:color w:val="000000" w:themeColor="text1"/>
                <w:kern w:val="0"/>
                <w:sz w:val="24"/>
                <w:szCs w:val="24"/>
              </w:rPr>
              <w:t>元；第</w:t>
            </w:r>
            <w:r>
              <w:rPr>
                <w:rFonts w:ascii="宋体" w:hAnsi="宋体" w:cs="Arial"/>
                <w:color w:val="000000" w:themeColor="text1"/>
                <w:kern w:val="0"/>
                <w:sz w:val="24"/>
                <w:szCs w:val="24"/>
              </w:rPr>
              <w:t>4-8</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）获得定期举办的全国运动会、全国锦标赛、全国大学生运动会和全国体育专业大学生基本功比赛等第</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元；第</w:t>
            </w:r>
            <w:r>
              <w:rPr>
                <w:rFonts w:ascii="宋体" w:hAnsi="宋体" w:cs="Arial"/>
                <w:color w:val="000000" w:themeColor="text1"/>
                <w:kern w:val="0"/>
                <w:sz w:val="24"/>
                <w:szCs w:val="24"/>
              </w:rPr>
              <w:t>2-3</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元；第</w:t>
            </w:r>
            <w:r>
              <w:rPr>
                <w:rFonts w:ascii="宋体" w:hAnsi="宋体" w:cs="Arial"/>
                <w:color w:val="000000" w:themeColor="text1"/>
                <w:kern w:val="0"/>
                <w:sz w:val="24"/>
                <w:szCs w:val="24"/>
              </w:rPr>
              <w:t>4-8</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2000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）获得江苏省运动会、省体育专业大学生基本功比赛第</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元；第</w:t>
            </w:r>
            <w:r>
              <w:rPr>
                <w:rFonts w:ascii="宋体" w:hAnsi="宋体" w:cs="Arial"/>
                <w:color w:val="000000" w:themeColor="text1"/>
                <w:kern w:val="0"/>
                <w:sz w:val="24"/>
                <w:szCs w:val="24"/>
              </w:rPr>
              <w:t>2-3</w:t>
            </w:r>
            <w:r>
              <w:rPr>
                <w:rFonts w:hint="eastAsia" w:ascii="宋体" w:hAnsi="宋体" w:cs="Arial"/>
                <w:color w:val="000000" w:themeColor="text1"/>
                <w:kern w:val="0"/>
                <w:sz w:val="24"/>
                <w:szCs w:val="24"/>
              </w:rPr>
              <w:t>名，奖励</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4</w:t>
            </w:r>
            <w:r>
              <w:rPr>
                <w:rFonts w:hint="eastAsia" w:ascii="宋体" w:hAnsi="宋体" w:cs="Arial"/>
                <w:color w:val="000000" w:themeColor="text1"/>
                <w:kern w:val="0"/>
                <w:sz w:val="24"/>
                <w:szCs w:val="24"/>
              </w:rPr>
              <w:t>）教师获得全国运动会、全国大学生运动会科学论文报告会一等奖，奖励</w:t>
            </w:r>
            <w:r>
              <w:rPr>
                <w:rFonts w:ascii="宋体" w:hAnsi="宋体" w:cs="Arial"/>
                <w:color w:val="000000" w:themeColor="text1"/>
                <w:kern w:val="0"/>
                <w:sz w:val="24"/>
                <w:szCs w:val="24"/>
              </w:rPr>
              <w:t>1000</w:t>
            </w:r>
            <w:r>
              <w:rPr>
                <w:rFonts w:hint="eastAsia" w:ascii="宋体" w:hAnsi="宋体" w:cs="Arial"/>
                <w:color w:val="000000" w:themeColor="text1"/>
                <w:kern w:val="0"/>
                <w:sz w:val="24"/>
                <w:szCs w:val="24"/>
              </w:rPr>
              <w:t>0元；二等奖，奖励</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元；三等奖，奖励</w:t>
            </w:r>
            <w:r>
              <w:rPr>
                <w:rFonts w:ascii="宋体" w:hAnsi="宋体" w:cs="Arial"/>
                <w:color w:val="000000" w:themeColor="text1"/>
                <w:kern w:val="0"/>
                <w:sz w:val="24"/>
                <w:szCs w:val="24"/>
              </w:rPr>
              <w:t>3000</w:t>
            </w:r>
            <w:r>
              <w:rPr>
                <w:rFonts w:hint="eastAsia" w:ascii="宋体" w:hAnsi="宋体" w:cs="Arial"/>
                <w:color w:val="000000" w:themeColor="text1"/>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 w:hRule="atLeast"/>
          <w:jc w:val="center"/>
        </w:trPr>
        <w:tc>
          <w:tcPr>
            <w:tcW w:w="2413" w:type="dxa"/>
            <w:gridSpan w:val="2"/>
            <w:vAlign w:val="center"/>
          </w:tcPr>
          <w:p>
            <w:pPr>
              <w:spacing w:line="360" w:lineRule="auto"/>
              <w:jc w:val="center"/>
              <w:rPr>
                <w:rFonts w:ascii="宋体" w:cs="Arial"/>
                <w:color w:val="000000" w:themeColor="text1"/>
                <w:kern w:val="0"/>
                <w:sz w:val="24"/>
                <w:szCs w:val="24"/>
              </w:rPr>
            </w:pPr>
            <w:r>
              <w:rPr>
                <w:rFonts w:hint="eastAsia" w:ascii="宋体" w:hAnsi="宋体" w:cs="Arial"/>
                <w:color w:val="000000" w:themeColor="text1"/>
                <w:kern w:val="0"/>
                <w:sz w:val="24"/>
                <w:szCs w:val="24"/>
              </w:rPr>
              <w:t>烹饪创作成果</w:t>
            </w:r>
          </w:p>
        </w:tc>
        <w:tc>
          <w:tcPr>
            <w:tcW w:w="5621" w:type="dxa"/>
            <w:vAlign w:val="center"/>
          </w:tcPr>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）烹饪和饮食文化学术研究成果，按照论文、论著奖励办法进行奖励。</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）参与国际性活动（如奥运会、亚运会服务）获奖的，奖励团队</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元，参加国内重大活动（如全运会等）获奖的，奖励团队</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w:t>
            </w:r>
          </w:p>
          <w:p>
            <w:pPr>
              <w:adjustRightInd w:val="0"/>
              <w:snapToGrid w:val="0"/>
              <w:spacing w:line="360" w:lineRule="auto"/>
              <w:ind w:firstLine="480" w:firstLineChars="200"/>
              <w:jc w:val="left"/>
              <w:rPr>
                <w:rFonts w:ascii="宋体" w:cs="Arial"/>
                <w:color w:val="000000" w:themeColor="text1"/>
                <w:kern w:val="0"/>
                <w:sz w:val="24"/>
                <w:szCs w:val="24"/>
              </w:rPr>
            </w:pPr>
            <w:r>
              <w:rPr>
                <w:rFonts w:hint="eastAsia" w:ascii="宋体" w:hAnsi="宋体" w:cs="Arial"/>
                <w:color w:val="000000" w:themeColor="text1"/>
                <w:kern w:val="0"/>
                <w:sz w:val="24"/>
                <w:szCs w:val="24"/>
              </w:rPr>
              <w:t>（</w:t>
            </w: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）烹饪作品获奖的配套奖励：获得国际级权威烹饪比赛奖的，特等奖</w:t>
            </w:r>
            <w:r>
              <w:rPr>
                <w:rFonts w:ascii="宋体" w:hAnsi="宋体" w:cs="Arial"/>
                <w:color w:val="000000" w:themeColor="text1"/>
                <w:kern w:val="0"/>
                <w:sz w:val="24"/>
                <w:szCs w:val="24"/>
              </w:rPr>
              <w:t>30000</w:t>
            </w:r>
            <w:r>
              <w:rPr>
                <w:rFonts w:hint="eastAsia" w:ascii="宋体" w:hAnsi="宋体" w:cs="Arial"/>
                <w:color w:val="000000" w:themeColor="text1"/>
                <w:kern w:val="0"/>
                <w:sz w:val="24"/>
                <w:szCs w:val="24"/>
              </w:rPr>
              <w:t>元，一等奖</w:t>
            </w:r>
            <w:r>
              <w:rPr>
                <w:rFonts w:ascii="宋体" w:hAnsi="宋体" w:cs="Arial"/>
                <w:color w:val="000000" w:themeColor="text1"/>
                <w:kern w:val="0"/>
                <w:sz w:val="24"/>
                <w:szCs w:val="24"/>
              </w:rPr>
              <w:t>20000</w:t>
            </w:r>
            <w:r>
              <w:rPr>
                <w:rFonts w:hint="eastAsia" w:ascii="宋体" w:hAnsi="宋体" w:cs="Arial"/>
                <w:color w:val="000000" w:themeColor="text1"/>
                <w:kern w:val="0"/>
                <w:sz w:val="24"/>
                <w:szCs w:val="24"/>
              </w:rPr>
              <w:t>元，二等奖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元；获得商务部等中央部门或中国烹饪协会等国家一级学（协）会组织的烹饪比赛奖的，特等奖</w:t>
            </w:r>
            <w:r>
              <w:rPr>
                <w:rFonts w:ascii="宋体" w:hAnsi="宋体" w:cs="Arial"/>
                <w:color w:val="000000" w:themeColor="text1"/>
                <w:kern w:val="0"/>
                <w:sz w:val="24"/>
                <w:szCs w:val="24"/>
              </w:rPr>
              <w:t>10000</w:t>
            </w:r>
            <w:r>
              <w:rPr>
                <w:rFonts w:hint="eastAsia" w:ascii="宋体" w:hAnsi="宋体" w:cs="Arial"/>
                <w:color w:val="000000" w:themeColor="text1"/>
                <w:kern w:val="0"/>
                <w:sz w:val="24"/>
                <w:szCs w:val="24"/>
              </w:rPr>
              <w:t>元，一等奖</w:t>
            </w:r>
            <w:r>
              <w:rPr>
                <w:rFonts w:ascii="宋体" w:hAnsi="宋体" w:cs="Arial"/>
                <w:color w:val="000000" w:themeColor="text1"/>
                <w:kern w:val="0"/>
                <w:sz w:val="24"/>
                <w:szCs w:val="24"/>
              </w:rPr>
              <w:t>5000</w:t>
            </w:r>
            <w:r>
              <w:rPr>
                <w:rFonts w:hint="eastAsia" w:ascii="宋体" w:hAnsi="宋体" w:cs="Arial"/>
                <w:color w:val="000000" w:themeColor="text1"/>
                <w:kern w:val="0"/>
                <w:sz w:val="24"/>
                <w:szCs w:val="24"/>
              </w:rPr>
              <w:t>元，二等奖</w:t>
            </w:r>
            <w:r>
              <w:rPr>
                <w:rFonts w:ascii="宋体" w:hAnsi="宋体" w:cs="Arial"/>
                <w:color w:val="000000" w:themeColor="text1"/>
                <w:kern w:val="0"/>
                <w:sz w:val="24"/>
                <w:szCs w:val="24"/>
              </w:rPr>
              <w:t>2000</w:t>
            </w:r>
            <w:r>
              <w:rPr>
                <w:rFonts w:hint="eastAsia" w:ascii="宋体" w:hAnsi="宋体" w:cs="Arial"/>
                <w:color w:val="000000" w:themeColor="text1"/>
                <w:kern w:val="0"/>
                <w:sz w:val="24"/>
                <w:szCs w:val="24"/>
              </w:rPr>
              <w:t>元</w:t>
            </w:r>
            <w:r>
              <w:rPr>
                <w:rFonts w:ascii="宋体" w:hAnsi="宋体" w:cs="Arial"/>
                <w:color w:val="000000" w:themeColor="text1"/>
                <w:kern w:val="0"/>
                <w:sz w:val="24"/>
                <w:szCs w:val="24"/>
              </w:rPr>
              <w:t>.</w:t>
            </w:r>
          </w:p>
        </w:tc>
      </w:tr>
    </w:tbl>
    <w:p>
      <w:pPr>
        <w:spacing w:line="360" w:lineRule="auto"/>
        <w:jc w:val="center"/>
        <w:rPr>
          <w:rFonts w:ascii="黑体" w:hAnsi="黑体" w:eastAsia="黑体" w:cs="Arial"/>
          <w:b/>
          <w:color w:val="000000" w:themeColor="text1"/>
          <w:kern w:val="0"/>
          <w:sz w:val="28"/>
          <w:szCs w:val="28"/>
        </w:rPr>
      </w:pPr>
    </w:p>
    <w:p>
      <w:pPr>
        <w:spacing w:line="360" w:lineRule="auto"/>
        <w:jc w:val="center"/>
        <w:rPr>
          <w:rFonts w:ascii="黑体" w:hAnsi="黑体" w:eastAsia="黑体" w:cs="Arial"/>
          <w:b/>
          <w:color w:val="000000" w:themeColor="text1"/>
          <w:kern w:val="0"/>
          <w:sz w:val="28"/>
          <w:szCs w:val="28"/>
        </w:rPr>
      </w:pPr>
      <w:r>
        <w:rPr>
          <w:rFonts w:hint="eastAsia" w:ascii="黑体" w:hAnsi="黑体" w:eastAsia="黑体" w:cs="Arial"/>
          <w:b/>
          <w:color w:val="000000" w:themeColor="text1"/>
          <w:kern w:val="0"/>
          <w:sz w:val="28"/>
          <w:szCs w:val="28"/>
        </w:rPr>
        <w:t>第四章</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科研奖励的申报、评审</w:t>
      </w:r>
    </w:p>
    <w:p>
      <w:pPr>
        <w:spacing w:line="360" w:lineRule="auto"/>
        <w:ind w:firstLine="472" w:firstLineChars="196"/>
        <w:rPr>
          <w:rFonts w:ascii="宋体" w:hAnsi="宋体" w:cs="宋体"/>
          <w:color w:val="000000" w:themeColor="text1"/>
          <w:kern w:val="0"/>
          <w:sz w:val="24"/>
          <w:szCs w:val="24"/>
        </w:rPr>
      </w:pPr>
      <w:r>
        <w:rPr>
          <w:rFonts w:hint="eastAsia" w:ascii="宋体" w:hAnsi="宋体" w:cs="宋体"/>
          <w:b/>
          <w:color w:val="000000" w:themeColor="text1"/>
          <w:kern w:val="0"/>
          <w:sz w:val="24"/>
          <w:szCs w:val="24"/>
        </w:rPr>
        <w:t>第十四条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申报与评审程序</w:t>
      </w:r>
      <w:r>
        <w:rPr>
          <w:rFonts w:ascii="宋体" w:hAnsi="宋体" w:cs="宋体"/>
          <w:color w:val="000000" w:themeColor="text1"/>
          <w:kern w:val="0"/>
          <w:sz w:val="24"/>
          <w:szCs w:val="24"/>
        </w:rPr>
        <w:t xml:space="preserve"> </w:t>
      </w:r>
    </w:p>
    <w:p>
      <w:pPr>
        <w:spacing w:line="360" w:lineRule="auto"/>
        <w:ind w:firstLine="480" w:firstLineChars="200"/>
        <w:rPr>
          <w:rFonts w:ascii="宋体" w:hAnsi="宋体" w:cs="Arial"/>
          <w:color w:val="000000" w:themeColor="text1"/>
          <w:kern w:val="0"/>
          <w:sz w:val="24"/>
          <w:szCs w:val="24"/>
        </w:rPr>
      </w:pPr>
      <w:r>
        <w:rPr>
          <w:rFonts w:ascii="宋体" w:hAnsi="宋体" w:cs="Arial"/>
          <w:color w:val="000000" w:themeColor="text1"/>
          <w:kern w:val="0"/>
          <w:sz w:val="24"/>
          <w:szCs w:val="24"/>
        </w:rPr>
        <w:t>1</w:t>
      </w:r>
      <w:r>
        <w:rPr>
          <w:rFonts w:hint="eastAsia" w:ascii="宋体" w:hAnsi="宋体" w:cs="Arial"/>
          <w:color w:val="000000" w:themeColor="text1"/>
          <w:kern w:val="0"/>
          <w:sz w:val="24"/>
          <w:szCs w:val="24"/>
        </w:rPr>
        <w:t>．个人申报：个人根据本奖励办法提出申请，并提供成果相关证明材料，由各二级单位初审、汇总后交科研处。</w:t>
      </w:r>
      <w:r>
        <w:rPr>
          <w:rFonts w:ascii="宋体" w:hAnsi="宋体" w:cs="Arial"/>
          <w:color w:val="000000" w:themeColor="text1"/>
          <w:kern w:val="0"/>
          <w:sz w:val="24"/>
          <w:szCs w:val="24"/>
        </w:rPr>
        <w:t xml:space="preserve"> </w:t>
      </w:r>
    </w:p>
    <w:p>
      <w:pPr>
        <w:spacing w:line="360" w:lineRule="auto"/>
        <w:ind w:firstLine="480" w:firstLineChars="200"/>
        <w:rPr>
          <w:rFonts w:ascii="宋体" w:hAnsi="宋体" w:cs="Arial"/>
          <w:color w:val="000000" w:themeColor="text1"/>
          <w:kern w:val="0"/>
          <w:sz w:val="24"/>
          <w:szCs w:val="24"/>
        </w:rPr>
      </w:pP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．科研处审核：科研处对所报材料进行审核、汇总后，提交校学术委员会审议。</w:t>
      </w:r>
      <w:r>
        <w:rPr>
          <w:rFonts w:ascii="宋体" w:hAnsi="宋体" w:cs="Arial"/>
          <w:color w:val="000000" w:themeColor="text1"/>
          <w:kern w:val="0"/>
          <w:sz w:val="24"/>
          <w:szCs w:val="24"/>
        </w:rPr>
        <w:t xml:space="preserve"> </w:t>
      </w:r>
    </w:p>
    <w:p>
      <w:pPr>
        <w:spacing w:line="360" w:lineRule="auto"/>
        <w:ind w:firstLine="480" w:firstLineChars="200"/>
        <w:rPr>
          <w:rFonts w:ascii="宋体" w:hAnsi="宋体" w:cs="宋体"/>
          <w:color w:val="000000" w:themeColor="text1"/>
          <w:kern w:val="0"/>
          <w:sz w:val="24"/>
          <w:szCs w:val="24"/>
        </w:rPr>
      </w:pPr>
      <w:r>
        <w:rPr>
          <w:rFonts w:ascii="宋体" w:hAnsi="宋体" w:cs="Arial"/>
          <w:color w:val="000000" w:themeColor="text1"/>
          <w:kern w:val="0"/>
          <w:sz w:val="24"/>
          <w:szCs w:val="24"/>
        </w:rPr>
        <w:t>3</w:t>
      </w:r>
      <w:r>
        <w:rPr>
          <w:rFonts w:hint="eastAsia" w:ascii="宋体" w:hAnsi="宋体" w:cs="Arial"/>
          <w:color w:val="000000" w:themeColor="text1"/>
          <w:kern w:val="0"/>
          <w:sz w:val="24"/>
          <w:szCs w:val="24"/>
        </w:rPr>
        <w:t>．校学术委员会审议批准后由科研处负责执行。</w:t>
      </w:r>
      <w:r>
        <w:rPr>
          <w:rFonts w:ascii="宋体" w:hAnsi="宋体" w:cs="宋体"/>
          <w:color w:val="000000" w:themeColor="text1"/>
          <w:kern w:val="0"/>
          <w:sz w:val="24"/>
          <w:szCs w:val="24"/>
        </w:rPr>
        <w:t xml:space="preserve"> </w:t>
      </w:r>
    </w:p>
    <w:p>
      <w:pPr>
        <w:spacing w:line="360" w:lineRule="auto"/>
        <w:jc w:val="center"/>
        <w:rPr>
          <w:rFonts w:ascii="黑体" w:hAnsi="黑体" w:eastAsia="黑体" w:cs="Arial"/>
          <w:b/>
          <w:color w:val="000000" w:themeColor="text1"/>
          <w:kern w:val="0"/>
          <w:sz w:val="28"/>
          <w:szCs w:val="28"/>
        </w:rPr>
      </w:pPr>
      <w:r>
        <w:rPr>
          <w:rFonts w:hint="eastAsia" w:ascii="黑体" w:hAnsi="黑体" w:eastAsia="黑体" w:cs="Arial"/>
          <w:b/>
          <w:color w:val="000000" w:themeColor="text1"/>
          <w:kern w:val="0"/>
          <w:sz w:val="28"/>
          <w:szCs w:val="28"/>
        </w:rPr>
        <w:t>第五章</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附</w:t>
      </w:r>
      <w:r>
        <w:rPr>
          <w:rFonts w:ascii="黑体" w:hAnsi="黑体" w:eastAsia="黑体" w:cs="Arial"/>
          <w:b/>
          <w:color w:val="000000" w:themeColor="text1"/>
          <w:kern w:val="0"/>
          <w:sz w:val="28"/>
          <w:szCs w:val="28"/>
        </w:rPr>
        <w:t xml:space="preserve">  </w:t>
      </w:r>
      <w:r>
        <w:rPr>
          <w:rFonts w:hint="eastAsia" w:ascii="黑体" w:hAnsi="黑体" w:eastAsia="黑体" w:cs="Arial"/>
          <w:b/>
          <w:color w:val="000000" w:themeColor="text1"/>
          <w:kern w:val="0"/>
          <w:sz w:val="28"/>
          <w:szCs w:val="28"/>
        </w:rPr>
        <w:t>则</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第十五条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本奖励条例适用于知识产权归属我校的科研成果。所有现金奖励均为税前款额。科研奖励的所得税一律由财务处按国家有关规定代为扣缴。</w:t>
      </w:r>
    </w:p>
    <w:p>
      <w:pPr>
        <w:spacing w:line="360" w:lineRule="auto"/>
        <w:ind w:firstLine="482" w:firstLineChars="200"/>
        <w:rPr>
          <w:rFonts w:ascii="宋体" w:cs="宋体"/>
          <w:color w:val="000000" w:themeColor="text1"/>
          <w:kern w:val="0"/>
          <w:sz w:val="24"/>
          <w:szCs w:val="24"/>
        </w:rPr>
      </w:pPr>
      <w:r>
        <w:rPr>
          <w:rFonts w:hint="eastAsia" w:ascii="宋体" w:hAnsi="宋体" w:cs="宋体"/>
          <w:b/>
          <w:color w:val="000000" w:themeColor="text1"/>
          <w:kern w:val="0"/>
          <w:sz w:val="24"/>
          <w:szCs w:val="24"/>
        </w:rPr>
        <w:t>第十六条　</w:t>
      </w:r>
      <w:r>
        <w:rPr>
          <w:rFonts w:hint="eastAsia" w:ascii="宋体" w:hAnsi="宋体" w:cs="Arial"/>
          <w:color w:val="000000" w:themeColor="text1"/>
          <w:kern w:val="0"/>
          <w:sz w:val="24"/>
          <w:szCs w:val="24"/>
        </w:rPr>
        <w:t>本条例自公布之日起执行。</w:t>
      </w:r>
    </w:p>
    <w:p>
      <w:pPr>
        <w:spacing w:line="360" w:lineRule="auto"/>
        <w:ind w:firstLine="482" w:firstLineChars="200"/>
        <w:rPr>
          <w:rFonts w:ascii="宋体" w:cs="Arial"/>
          <w:color w:val="000000" w:themeColor="text1"/>
          <w:kern w:val="0"/>
          <w:sz w:val="24"/>
          <w:szCs w:val="24"/>
        </w:rPr>
      </w:pPr>
      <w:r>
        <w:rPr>
          <w:rFonts w:hint="eastAsia" w:ascii="宋体" w:hAnsi="宋体" w:cs="宋体"/>
          <w:b/>
          <w:color w:val="000000" w:themeColor="text1"/>
          <w:kern w:val="0"/>
          <w:sz w:val="24"/>
          <w:szCs w:val="24"/>
        </w:rPr>
        <w:t>第十七条</w:t>
      </w:r>
      <w:r>
        <w:rPr>
          <w:rFonts w:hint="eastAsia" w:ascii="宋体" w:hAnsi="宋体" w:cs="宋体"/>
          <w:color w:val="000000" w:themeColor="text1"/>
          <w:kern w:val="0"/>
          <w:sz w:val="24"/>
          <w:szCs w:val="24"/>
        </w:rPr>
        <w:t>　</w:t>
      </w:r>
      <w:r>
        <w:rPr>
          <w:rFonts w:hint="eastAsia" w:ascii="宋体" w:hAnsi="宋体" w:cs="Arial"/>
          <w:color w:val="000000" w:themeColor="text1"/>
          <w:kern w:val="0"/>
          <w:sz w:val="24"/>
          <w:szCs w:val="24"/>
        </w:rPr>
        <w:t>本条例由科研处负责解释。</w:t>
      </w:r>
    </w:p>
    <w:p/>
    <w:sectPr>
      <w:footerReference r:id="rId3" w:type="default"/>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lang w:val="zh-CN"/>
      </w:rPr>
      <w:t xml:space="preserve"> </w:t>
    </w:r>
    <w:r>
      <w:rPr>
        <w:b/>
      </w:rPr>
      <w:fldChar w:fldCharType="begin"/>
    </w:r>
    <w:r>
      <w:rPr>
        <w:b/>
      </w:rPr>
      <w:instrText xml:space="preserve">PAGE</w:instrText>
    </w:r>
    <w:r>
      <w:rPr>
        <w:b/>
      </w:rPr>
      <w:fldChar w:fldCharType="separate"/>
    </w:r>
    <w:r>
      <w:rPr>
        <w:b/>
      </w:rPr>
      <w:t>4</w:t>
    </w:r>
    <w:r>
      <w:rPr>
        <w:b/>
      </w:rPr>
      <w:fldChar w:fldCharType="end"/>
    </w:r>
    <w:r>
      <w:rPr>
        <w:lang w:val="zh-CN"/>
      </w:rPr>
      <w:t xml:space="preserve"> </w: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6125C6"/>
    <w:rsid w:val="00012E8F"/>
    <w:rsid w:val="0002148A"/>
    <w:rsid w:val="000369AA"/>
    <w:rsid w:val="00040807"/>
    <w:rsid w:val="00041E35"/>
    <w:rsid w:val="000457B5"/>
    <w:rsid w:val="00051099"/>
    <w:rsid w:val="00051661"/>
    <w:rsid w:val="0005644A"/>
    <w:rsid w:val="00056A96"/>
    <w:rsid w:val="000669AB"/>
    <w:rsid w:val="00070D71"/>
    <w:rsid w:val="00071775"/>
    <w:rsid w:val="000719C4"/>
    <w:rsid w:val="00074BEF"/>
    <w:rsid w:val="0007556F"/>
    <w:rsid w:val="0008025B"/>
    <w:rsid w:val="0008380E"/>
    <w:rsid w:val="00092C83"/>
    <w:rsid w:val="00096082"/>
    <w:rsid w:val="00096BE2"/>
    <w:rsid w:val="000B0706"/>
    <w:rsid w:val="000B354F"/>
    <w:rsid w:val="000B430E"/>
    <w:rsid w:val="000B47CD"/>
    <w:rsid w:val="000C7AE3"/>
    <w:rsid w:val="000D64D9"/>
    <w:rsid w:val="000D6C4B"/>
    <w:rsid w:val="000E452F"/>
    <w:rsid w:val="000F2894"/>
    <w:rsid w:val="001001EE"/>
    <w:rsid w:val="00107193"/>
    <w:rsid w:val="00110E01"/>
    <w:rsid w:val="00110E86"/>
    <w:rsid w:val="0013303E"/>
    <w:rsid w:val="0014384F"/>
    <w:rsid w:val="00145A75"/>
    <w:rsid w:val="00154853"/>
    <w:rsid w:val="001658BB"/>
    <w:rsid w:val="001672C5"/>
    <w:rsid w:val="00180A09"/>
    <w:rsid w:val="001839C3"/>
    <w:rsid w:val="0018435C"/>
    <w:rsid w:val="00196588"/>
    <w:rsid w:val="00197764"/>
    <w:rsid w:val="001A2DF1"/>
    <w:rsid w:val="001B0C83"/>
    <w:rsid w:val="001B1585"/>
    <w:rsid w:val="001C33AE"/>
    <w:rsid w:val="001D291F"/>
    <w:rsid w:val="001D40F5"/>
    <w:rsid w:val="001E3EB4"/>
    <w:rsid w:val="001E6406"/>
    <w:rsid w:val="001E7FA2"/>
    <w:rsid w:val="001F1EB2"/>
    <w:rsid w:val="001F2DE3"/>
    <w:rsid w:val="00206A30"/>
    <w:rsid w:val="00216FD8"/>
    <w:rsid w:val="00236BAC"/>
    <w:rsid w:val="00253DDD"/>
    <w:rsid w:val="002668D3"/>
    <w:rsid w:val="0027506D"/>
    <w:rsid w:val="00277F24"/>
    <w:rsid w:val="0028263C"/>
    <w:rsid w:val="0028306D"/>
    <w:rsid w:val="002959CB"/>
    <w:rsid w:val="002A35AB"/>
    <w:rsid w:val="002A47B1"/>
    <w:rsid w:val="002A62E7"/>
    <w:rsid w:val="002B797A"/>
    <w:rsid w:val="002C6B11"/>
    <w:rsid w:val="002C7BE2"/>
    <w:rsid w:val="002D35B7"/>
    <w:rsid w:val="002D6D49"/>
    <w:rsid w:val="002E374E"/>
    <w:rsid w:val="002E3FA6"/>
    <w:rsid w:val="002E571E"/>
    <w:rsid w:val="002E5B76"/>
    <w:rsid w:val="002E6011"/>
    <w:rsid w:val="002E6BC0"/>
    <w:rsid w:val="002F1CE4"/>
    <w:rsid w:val="002F4466"/>
    <w:rsid w:val="002F4B1D"/>
    <w:rsid w:val="002F6FDB"/>
    <w:rsid w:val="00303903"/>
    <w:rsid w:val="00303D17"/>
    <w:rsid w:val="00303D19"/>
    <w:rsid w:val="00304A04"/>
    <w:rsid w:val="00305ED9"/>
    <w:rsid w:val="0031238D"/>
    <w:rsid w:val="00316087"/>
    <w:rsid w:val="00321294"/>
    <w:rsid w:val="0032270F"/>
    <w:rsid w:val="003247C7"/>
    <w:rsid w:val="003269D5"/>
    <w:rsid w:val="00336B4B"/>
    <w:rsid w:val="0034019A"/>
    <w:rsid w:val="003403A1"/>
    <w:rsid w:val="003537B6"/>
    <w:rsid w:val="00363D7C"/>
    <w:rsid w:val="003722CA"/>
    <w:rsid w:val="0037287D"/>
    <w:rsid w:val="00383508"/>
    <w:rsid w:val="00396BA8"/>
    <w:rsid w:val="003B16CA"/>
    <w:rsid w:val="003C2B5F"/>
    <w:rsid w:val="003C5A38"/>
    <w:rsid w:val="003D0ED9"/>
    <w:rsid w:val="003D6E1B"/>
    <w:rsid w:val="003F3742"/>
    <w:rsid w:val="004205C4"/>
    <w:rsid w:val="0043029B"/>
    <w:rsid w:val="004378F3"/>
    <w:rsid w:val="00440CA7"/>
    <w:rsid w:val="004413E5"/>
    <w:rsid w:val="004451D6"/>
    <w:rsid w:val="0044575B"/>
    <w:rsid w:val="00456D78"/>
    <w:rsid w:val="004672AD"/>
    <w:rsid w:val="00472527"/>
    <w:rsid w:val="004776AD"/>
    <w:rsid w:val="004820D3"/>
    <w:rsid w:val="00492FA4"/>
    <w:rsid w:val="004A76AF"/>
    <w:rsid w:val="004B12A1"/>
    <w:rsid w:val="004B3C0F"/>
    <w:rsid w:val="004B5DA7"/>
    <w:rsid w:val="004C175A"/>
    <w:rsid w:val="004C78FD"/>
    <w:rsid w:val="004D4E3C"/>
    <w:rsid w:val="004D6103"/>
    <w:rsid w:val="004D69AC"/>
    <w:rsid w:val="004E5909"/>
    <w:rsid w:val="004E7342"/>
    <w:rsid w:val="004F502E"/>
    <w:rsid w:val="004F55B6"/>
    <w:rsid w:val="004F5A15"/>
    <w:rsid w:val="00502E19"/>
    <w:rsid w:val="005035E4"/>
    <w:rsid w:val="00516C22"/>
    <w:rsid w:val="0052034C"/>
    <w:rsid w:val="005367DA"/>
    <w:rsid w:val="00540F03"/>
    <w:rsid w:val="005439D7"/>
    <w:rsid w:val="005536D4"/>
    <w:rsid w:val="005576EE"/>
    <w:rsid w:val="00561DF9"/>
    <w:rsid w:val="00562BFE"/>
    <w:rsid w:val="00562EC7"/>
    <w:rsid w:val="00571174"/>
    <w:rsid w:val="00574F5D"/>
    <w:rsid w:val="00583AD3"/>
    <w:rsid w:val="005863A1"/>
    <w:rsid w:val="00587D80"/>
    <w:rsid w:val="00591EDA"/>
    <w:rsid w:val="00594FEA"/>
    <w:rsid w:val="005A0D39"/>
    <w:rsid w:val="005A0FAE"/>
    <w:rsid w:val="005C4C0F"/>
    <w:rsid w:val="005C50D7"/>
    <w:rsid w:val="005C6C01"/>
    <w:rsid w:val="005D34F2"/>
    <w:rsid w:val="005D4DEF"/>
    <w:rsid w:val="005D5656"/>
    <w:rsid w:val="005D69FD"/>
    <w:rsid w:val="005E1D71"/>
    <w:rsid w:val="005F2771"/>
    <w:rsid w:val="005F70AC"/>
    <w:rsid w:val="00602559"/>
    <w:rsid w:val="006125C6"/>
    <w:rsid w:val="0061299F"/>
    <w:rsid w:val="0061632C"/>
    <w:rsid w:val="0062704D"/>
    <w:rsid w:val="00635C8C"/>
    <w:rsid w:val="006361E4"/>
    <w:rsid w:val="00644DBF"/>
    <w:rsid w:val="00655053"/>
    <w:rsid w:val="00665A87"/>
    <w:rsid w:val="00676D6E"/>
    <w:rsid w:val="006808C8"/>
    <w:rsid w:val="00684E00"/>
    <w:rsid w:val="00687714"/>
    <w:rsid w:val="00697353"/>
    <w:rsid w:val="006A25A0"/>
    <w:rsid w:val="006A4C99"/>
    <w:rsid w:val="006A74E5"/>
    <w:rsid w:val="006B2EA3"/>
    <w:rsid w:val="006C3BE4"/>
    <w:rsid w:val="006D6323"/>
    <w:rsid w:val="006F3C52"/>
    <w:rsid w:val="007030E0"/>
    <w:rsid w:val="00707629"/>
    <w:rsid w:val="0071641B"/>
    <w:rsid w:val="00723C48"/>
    <w:rsid w:val="00725FC7"/>
    <w:rsid w:val="007309E7"/>
    <w:rsid w:val="007379B6"/>
    <w:rsid w:val="0074779D"/>
    <w:rsid w:val="00750884"/>
    <w:rsid w:val="00754BB2"/>
    <w:rsid w:val="007657A2"/>
    <w:rsid w:val="007666C1"/>
    <w:rsid w:val="00766BF5"/>
    <w:rsid w:val="0077118F"/>
    <w:rsid w:val="007769F5"/>
    <w:rsid w:val="007801A1"/>
    <w:rsid w:val="00782C75"/>
    <w:rsid w:val="00795B54"/>
    <w:rsid w:val="007A12A0"/>
    <w:rsid w:val="007B0C68"/>
    <w:rsid w:val="007B6766"/>
    <w:rsid w:val="007B6C70"/>
    <w:rsid w:val="007B796B"/>
    <w:rsid w:val="007D0567"/>
    <w:rsid w:val="007D6C7D"/>
    <w:rsid w:val="007E091A"/>
    <w:rsid w:val="007F34CA"/>
    <w:rsid w:val="00812A21"/>
    <w:rsid w:val="008329BD"/>
    <w:rsid w:val="008330E4"/>
    <w:rsid w:val="00836630"/>
    <w:rsid w:val="00850146"/>
    <w:rsid w:val="00855E65"/>
    <w:rsid w:val="00871A8C"/>
    <w:rsid w:val="00873D3F"/>
    <w:rsid w:val="00881FE7"/>
    <w:rsid w:val="0088456F"/>
    <w:rsid w:val="00885455"/>
    <w:rsid w:val="00885D30"/>
    <w:rsid w:val="008969B4"/>
    <w:rsid w:val="008972B7"/>
    <w:rsid w:val="008A6316"/>
    <w:rsid w:val="008B1AEA"/>
    <w:rsid w:val="008B2D01"/>
    <w:rsid w:val="008C61FF"/>
    <w:rsid w:val="008C7E08"/>
    <w:rsid w:val="008D0ACB"/>
    <w:rsid w:val="008E1D02"/>
    <w:rsid w:val="008E462E"/>
    <w:rsid w:val="008E763C"/>
    <w:rsid w:val="008F47ED"/>
    <w:rsid w:val="009060E5"/>
    <w:rsid w:val="00911D66"/>
    <w:rsid w:val="00914146"/>
    <w:rsid w:val="00914666"/>
    <w:rsid w:val="00927A24"/>
    <w:rsid w:val="00940E00"/>
    <w:rsid w:val="00946017"/>
    <w:rsid w:val="00954CA4"/>
    <w:rsid w:val="0096782C"/>
    <w:rsid w:val="0098214C"/>
    <w:rsid w:val="009840C1"/>
    <w:rsid w:val="0099054C"/>
    <w:rsid w:val="0099450A"/>
    <w:rsid w:val="00996D06"/>
    <w:rsid w:val="009B6C4C"/>
    <w:rsid w:val="009B7650"/>
    <w:rsid w:val="009C259F"/>
    <w:rsid w:val="009C4196"/>
    <w:rsid w:val="009D011C"/>
    <w:rsid w:val="009D738E"/>
    <w:rsid w:val="009D7667"/>
    <w:rsid w:val="009E33F6"/>
    <w:rsid w:val="009E6778"/>
    <w:rsid w:val="009F2E56"/>
    <w:rsid w:val="009F4233"/>
    <w:rsid w:val="009F569D"/>
    <w:rsid w:val="00A06268"/>
    <w:rsid w:val="00A144ED"/>
    <w:rsid w:val="00A1555B"/>
    <w:rsid w:val="00A23BC1"/>
    <w:rsid w:val="00A276BC"/>
    <w:rsid w:val="00A35774"/>
    <w:rsid w:val="00A374B4"/>
    <w:rsid w:val="00A4220A"/>
    <w:rsid w:val="00A547D2"/>
    <w:rsid w:val="00A56B71"/>
    <w:rsid w:val="00A608E2"/>
    <w:rsid w:val="00A678F7"/>
    <w:rsid w:val="00A75D38"/>
    <w:rsid w:val="00A86826"/>
    <w:rsid w:val="00A915AF"/>
    <w:rsid w:val="00AA06FD"/>
    <w:rsid w:val="00AC09C2"/>
    <w:rsid w:val="00AC140D"/>
    <w:rsid w:val="00AC1DB1"/>
    <w:rsid w:val="00AC2229"/>
    <w:rsid w:val="00AC3623"/>
    <w:rsid w:val="00AC4FF4"/>
    <w:rsid w:val="00AC764A"/>
    <w:rsid w:val="00AD1A64"/>
    <w:rsid w:val="00AF1247"/>
    <w:rsid w:val="00AF3469"/>
    <w:rsid w:val="00B279F8"/>
    <w:rsid w:val="00B3682C"/>
    <w:rsid w:val="00B41BE2"/>
    <w:rsid w:val="00B4441B"/>
    <w:rsid w:val="00B64AA8"/>
    <w:rsid w:val="00B80D02"/>
    <w:rsid w:val="00B816D1"/>
    <w:rsid w:val="00B826F4"/>
    <w:rsid w:val="00B91867"/>
    <w:rsid w:val="00B9777F"/>
    <w:rsid w:val="00BA37DE"/>
    <w:rsid w:val="00BA68ED"/>
    <w:rsid w:val="00BA7920"/>
    <w:rsid w:val="00BB26F8"/>
    <w:rsid w:val="00BC4881"/>
    <w:rsid w:val="00BD2346"/>
    <w:rsid w:val="00BF1D98"/>
    <w:rsid w:val="00BF2834"/>
    <w:rsid w:val="00BF66E4"/>
    <w:rsid w:val="00C02EFA"/>
    <w:rsid w:val="00C0350A"/>
    <w:rsid w:val="00C07449"/>
    <w:rsid w:val="00C104D6"/>
    <w:rsid w:val="00C21B95"/>
    <w:rsid w:val="00C51FCA"/>
    <w:rsid w:val="00C65925"/>
    <w:rsid w:val="00C81418"/>
    <w:rsid w:val="00C8142C"/>
    <w:rsid w:val="00C86DDC"/>
    <w:rsid w:val="00C87398"/>
    <w:rsid w:val="00C87C2D"/>
    <w:rsid w:val="00C93F60"/>
    <w:rsid w:val="00CB6EE7"/>
    <w:rsid w:val="00CC0834"/>
    <w:rsid w:val="00CD118F"/>
    <w:rsid w:val="00CD2805"/>
    <w:rsid w:val="00CD3094"/>
    <w:rsid w:val="00CE02CE"/>
    <w:rsid w:val="00CE3041"/>
    <w:rsid w:val="00CF0742"/>
    <w:rsid w:val="00CF32A8"/>
    <w:rsid w:val="00CF32FC"/>
    <w:rsid w:val="00CF60DF"/>
    <w:rsid w:val="00D115CF"/>
    <w:rsid w:val="00D175DF"/>
    <w:rsid w:val="00D2386C"/>
    <w:rsid w:val="00D311A8"/>
    <w:rsid w:val="00D627ED"/>
    <w:rsid w:val="00D74900"/>
    <w:rsid w:val="00D8371A"/>
    <w:rsid w:val="00DA44AC"/>
    <w:rsid w:val="00DA616C"/>
    <w:rsid w:val="00DC1BB3"/>
    <w:rsid w:val="00DE4DA6"/>
    <w:rsid w:val="00DF4B71"/>
    <w:rsid w:val="00E06F30"/>
    <w:rsid w:val="00E14113"/>
    <w:rsid w:val="00E2685E"/>
    <w:rsid w:val="00E26A46"/>
    <w:rsid w:val="00E30AD7"/>
    <w:rsid w:val="00E338B6"/>
    <w:rsid w:val="00E3667E"/>
    <w:rsid w:val="00E36AD5"/>
    <w:rsid w:val="00E448ED"/>
    <w:rsid w:val="00E4675F"/>
    <w:rsid w:val="00E4711B"/>
    <w:rsid w:val="00E61FDB"/>
    <w:rsid w:val="00E67893"/>
    <w:rsid w:val="00E842F5"/>
    <w:rsid w:val="00E92BF6"/>
    <w:rsid w:val="00EA3BC6"/>
    <w:rsid w:val="00EB20F1"/>
    <w:rsid w:val="00EC0103"/>
    <w:rsid w:val="00EC5702"/>
    <w:rsid w:val="00EC5D44"/>
    <w:rsid w:val="00EC6525"/>
    <w:rsid w:val="00ED352E"/>
    <w:rsid w:val="00ED48D4"/>
    <w:rsid w:val="00ED5390"/>
    <w:rsid w:val="00EE30BD"/>
    <w:rsid w:val="00EE7711"/>
    <w:rsid w:val="00EF5338"/>
    <w:rsid w:val="00F032B4"/>
    <w:rsid w:val="00F04510"/>
    <w:rsid w:val="00F05DF5"/>
    <w:rsid w:val="00F11F3D"/>
    <w:rsid w:val="00F23F87"/>
    <w:rsid w:val="00F31ECF"/>
    <w:rsid w:val="00F65FD6"/>
    <w:rsid w:val="00F66623"/>
    <w:rsid w:val="00F66D65"/>
    <w:rsid w:val="00F729A7"/>
    <w:rsid w:val="00F7576A"/>
    <w:rsid w:val="00F844BF"/>
    <w:rsid w:val="00F855A8"/>
    <w:rsid w:val="00F90D03"/>
    <w:rsid w:val="00F93D66"/>
    <w:rsid w:val="00FA15C3"/>
    <w:rsid w:val="00FA7741"/>
    <w:rsid w:val="00FB0A4A"/>
    <w:rsid w:val="00FB7766"/>
    <w:rsid w:val="00FB7B9A"/>
    <w:rsid w:val="00FC4AE3"/>
    <w:rsid w:val="00FC6196"/>
    <w:rsid w:val="00FD78E5"/>
    <w:rsid w:val="00FF5853"/>
    <w:rsid w:val="143A16DE"/>
    <w:rsid w:val="240A2554"/>
    <w:rsid w:val="5B9E1C9A"/>
    <w:rsid w:val="6145205D"/>
    <w:rsid w:val="6D4803EE"/>
    <w:rsid w:val="78F11D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99"/>
    <w:pPr>
      <w:widowControl/>
      <w:spacing w:line="360" w:lineRule="auto"/>
      <w:jc w:val="center"/>
      <w:outlineLvl w:val="0"/>
    </w:pPr>
    <w:rPr>
      <w:rFonts w:ascii="宋体" w:hAnsi="宋体"/>
      <w:b/>
      <w:bCs/>
      <w:color w:val="333333"/>
      <w:kern w:val="36"/>
      <w:sz w:val="36"/>
      <w:szCs w:val="48"/>
    </w:rPr>
  </w:style>
  <w:style w:type="paragraph" w:styleId="3">
    <w:name w:val="heading 2"/>
    <w:basedOn w:val="1"/>
    <w:next w:val="1"/>
    <w:link w:val="16"/>
    <w:qFormat/>
    <w:uiPriority w:val="99"/>
    <w:pPr>
      <w:keepNext/>
      <w:keepLines/>
      <w:spacing w:before="260" w:after="260" w:line="416" w:lineRule="auto"/>
      <w:outlineLvl w:val="1"/>
    </w:pPr>
    <w:rPr>
      <w:rFonts w:ascii="Cambria" w:hAnsi="Cambria"/>
      <w:b/>
      <w:bCs/>
      <w:sz w:val="32"/>
      <w:szCs w:val="32"/>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Date"/>
    <w:basedOn w:val="1"/>
    <w:next w:val="1"/>
    <w:link w:val="22"/>
    <w:qFormat/>
    <w:uiPriority w:val="99"/>
    <w:pPr>
      <w:ind w:left="100" w:leftChars="2500"/>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99"/>
    <w:pPr>
      <w:tabs>
        <w:tab w:val="right" w:leader="dot" w:pos="8302"/>
      </w:tabs>
      <w:adjustRightInd w:val="0"/>
      <w:snapToGrid w:val="0"/>
      <w:spacing w:line="480" w:lineRule="auto"/>
    </w:pPr>
  </w:style>
  <w:style w:type="paragraph" w:styleId="9">
    <w:name w:val="Title"/>
    <w:basedOn w:val="1"/>
    <w:next w:val="1"/>
    <w:link w:val="23"/>
    <w:qFormat/>
    <w:locked/>
    <w:uiPriority w:val="0"/>
    <w:pPr>
      <w:spacing w:before="240" w:after="60"/>
      <w:jc w:val="center"/>
      <w:outlineLvl w:val="0"/>
    </w:pPr>
    <w:rPr>
      <w:rFonts w:ascii="Cambria" w:hAnsi="Cambria"/>
      <w:b/>
      <w:bCs/>
      <w:sz w:val="32"/>
      <w:szCs w:val="32"/>
    </w:rPr>
  </w:style>
  <w:style w:type="character" w:styleId="11">
    <w:name w:val="FollowedHyperlink"/>
    <w:basedOn w:val="10"/>
    <w:qFormat/>
    <w:uiPriority w:val="99"/>
    <w:rPr>
      <w:rFonts w:cs="Times New Roman"/>
      <w:color w:val="262626"/>
      <w:sz w:val="18"/>
      <w:szCs w:val="18"/>
      <w:u w:val="none"/>
    </w:rPr>
  </w:style>
  <w:style w:type="character" w:styleId="12">
    <w:name w:val="Hyperlink"/>
    <w:basedOn w:val="10"/>
    <w:qFormat/>
    <w:uiPriority w:val="99"/>
    <w:rPr>
      <w:rFonts w:cs="Times New Roman"/>
      <w:color w:val="262626"/>
      <w:sz w:val="18"/>
      <w:szCs w:val="18"/>
      <w:u w:val="none"/>
    </w:rPr>
  </w:style>
  <w:style w:type="table" w:styleId="14">
    <w:name w:val="Table Grid"/>
    <w:basedOn w:val="13"/>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标题 1 Char"/>
    <w:basedOn w:val="10"/>
    <w:link w:val="2"/>
    <w:qFormat/>
    <w:locked/>
    <w:uiPriority w:val="99"/>
    <w:rPr>
      <w:rFonts w:ascii="宋体" w:eastAsia="宋体" w:cs="Times New Roman"/>
      <w:b/>
      <w:bCs/>
      <w:color w:val="333333"/>
      <w:kern w:val="36"/>
      <w:sz w:val="48"/>
      <w:szCs w:val="48"/>
    </w:rPr>
  </w:style>
  <w:style w:type="character" w:customStyle="1" w:styleId="16">
    <w:name w:val="标题 2 Char"/>
    <w:basedOn w:val="10"/>
    <w:link w:val="3"/>
    <w:qFormat/>
    <w:locked/>
    <w:uiPriority w:val="99"/>
    <w:rPr>
      <w:rFonts w:ascii="Cambria" w:hAnsi="Cambria" w:eastAsia="宋体" w:cs="Times New Roman"/>
      <w:b/>
      <w:bCs/>
      <w:kern w:val="2"/>
      <w:sz w:val="32"/>
      <w:szCs w:val="32"/>
    </w:rPr>
  </w:style>
  <w:style w:type="paragraph" w:customStyle="1" w:styleId="17">
    <w:name w:val="标准"/>
    <w:basedOn w:val="1"/>
    <w:qFormat/>
    <w:uiPriority w:val="99"/>
    <w:pPr>
      <w:adjustRightInd w:val="0"/>
      <w:spacing w:before="120" w:after="120" w:line="312" w:lineRule="atLeast"/>
    </w:pPr>
    <w:rPr>
      <w:rFonts w:ascii="宋体" w:hAnsi="Times New Roman"/>
      <w:kern w:val="0"/>
      <w:szCs w:val="20"/>
    </w:rPr>
  </w:style>
  <w:style w:type="character" w:customStyle="1" w:styleId="18">
    <w:name w:val="页脚 Char"/>
    <w:basedOn w:val="10"/>
    <w:link w:val="6"/>
    <w:qFormat/>
    <w:locked/>
    <w:uiPriority w:val="99"/>
    <w:rPr>
      <w:rFonts w:cs="Times New Roman"/>
      <w:kern w:val="2"/>
      <w:sz w:val="18"/>
      <w:szCs w:val="18"/>
    </w:rPr>
  </w:style>
  <w:style w:type="character" w:customStyle="1" w:styleId="19">
    <w:name w:val="页眉 Char"/>
    <w:basedOn w:val="10"/>
    <w:link w:val="7"/>
    <w:qFormat/>
    <w:locked/>
    <w:uiPriority w:val="99"/>
    <w:rPr>
      <w:rFonts w:ascii="Calibri" w:hAnsi="Calibri" w:eastAsia="宋体" w:cs="Times New Roman"/>
      <w:kern w:val="2"/>
      <w:sz w:val="18"/>
      <w:szCs w:val="18"/>
    </w:rPr>
  </w:style>
  <w:style w:type="character" w:customStyle="1" w:styleId="20">
    <w:name w:val="批注框文本 Char"/>
    <w:basedOn w:val="10"/>
    <w:link w:val="5"/>
    <w:semiHidden/>
    <w:qFormat/>
    <w:locked/>
    <w:uiPriority w:val="99"/>
    <w:rPr>
      <w:rFonts w:ascii="Calibri" w:hAnsi="Calibri" w:eastAsia="宋体" w:cs="Times New Roman"/>
      <w:kern w:val="2"/>
      <w:sz w:val="18"/>
      <w:szCs w:val="18"/>
    </w:rPr>
  </w:style>
  <w:style w:type="paragraph" w:customStyle="1" w:styleId="21">
    <w:name w:val="列出段落1"/>
    <w:basedOn w:val="1"/>
    <w:qFormat/>
    <w:uiPriority w:val="99"/>
    <w:pPr>
      <w:ind w:firstLine="420" w:firstLineChars="200"/>
    </w:pPr>
  </w:style>
  <w:style w:type="character" w:customStyle="1" w:styleId="22">
    <w:name w:val="日期 Char"/>
    <w:basedOn w:val="10"/>
    <w:link w:val="4"/>
    <w:semiHidden/>
    <w:locked/>
    <w:uiPriority w:val="99"/>
    <w:rPr>
      <w:rFonts w:ascii="Calibri" w:hAnsi="Calibri" w:cs="Times New Roman"/>
    </w:rPr>
  </w:style>
  <w:style w:type="character" w:customStyle="1" w:styleId="23">
    <w:name w:val="标题 Char"/>
    <w:basedOn w:val="10"/>
    <w:link w:val="9"/>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Template>
  <Company>Lenovo</Company>
  <Pages>13</Pages>
  <Words>1200</Words>
  <Characters>6840</Characters>
  <Lines>57</Lines>
  <Paragraphs>16</Paragraphs>
  <ScaleCrop>false</ScaleCrop>
  <LinksUpToDate>false</LinksUpToDate>
  <CharactersWithSpaces>8024</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2017-09-07T10:12:00Z</dcterms:created>
  <dc:creator>lenovo</dc:creator>
  <cp:lastModifiedBy>Administrator</cp:lastModifiedBy>
  <cp:lastPrinted>2017-09-13T06:49:00Z</cp:lastPrinted>
  <dcterms:modified xsi:type="dcterms:W3CDTF">2017-09-13T06:54:55Z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