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rPr>
          <w:rFonts w:hint="eastAsia" w:ascii="黑体" w:hAnsi="黑体" w:eastAsia="黑体" w:cs="黑体"/>
          <w:szCs w:val="32"/>
        </w:rPr>
      </w:pPr>
      <w:r>
        <w:rPr>
          <w:rFonts w:hint="eastAsia" w:ascii="黑体" w:hAnsi="黑体" w:eastAsia="黑体" w:cs="黑体"/>
          <w:szCs w:val="32"/>
        </w:rPr>
        <w:t>附件1</w:t>
      </w:r>
    </w:p>
    <w:p>
      <w:pPr>
        <w:spacing w:line="560" w:lineRule="exact"/>
        <w:ind w:firstLine="0"/>
        <w:rPr>
          <w:rFonts w:hint="eastAsia" w:eastAsia="黑体" w:cs="黑体"/>
          <w:sz w:val="30"/>
          <w:szCs w:val="30"/>
        </w:rPr>
      </w:pPr>
    </w:p>
    <w:p>
      <w:pPr>
        <w:adjustRightInd w:val="0"/>
        <w:spacing w:line="560" w:lineRule="exact"/>
        <w:ind w:firstLine="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2020年度泰州市软科学研究计划项目指南</w:t>
      </w:r>
    </w:p>
    <w:bookmarkEnd w:id="0"/>
    <w:p>
      <w:pPr>
        <w:widowControl/>
        <w:spacing w:line="560" w:lineRule="exact"/>
        <w:ind w:firstLine="640" w:firstLineChars="200"/>
        <w:jc w:val="left"/>
        <w:rPr>
          <w:rFonts w:hint="eastAsia" w:eastAsia="仿宋_GB2312"/>
          <w:szCs w:val="32"/>
        </w:rPr>
      </w:pPr>
    </w:p>
    <w:p>
      <w:pPr>
        <w:widowControl/>
        <w:adjustRightInd w:val="0"/>
        <w:spacing w:line="560" w:lineRule="exact"/>
        <w:ind w:firstLine="640" w:firstLineChars="200"/>
        <w:rPr>
          <w:rFonts w:hint="eastAsia" w:eastAsia="仿宋_GB2312"/>
          <w:szCs w:val="32"/>
        </w:rPr>
      </w:pPr>
      <w:r>
        <w:rPr>
          <w:rFonts w:hint="eastAsia" w:eastAsia="仿宋_GB2312" w:cs="仿宋_GB2312"/>
          <w:szCs w:val="32"/>
        </w:rPr>
        <w:t>2020年度泰州市软科学研究将以深入贯彻党的十九大精神，全面落实市“科技人才新政80条”，突出创新驱动、突出高质量发展、突出创新型城市建设，选择一批具有前瞻性的重点、热点、难点问题，提出相应的发展思路、对策措施，为推动我市全力打造江苏高质量发展中部支点城市提供决策参考支持。</w:t>
      </w:r>
      <w:r>
        <w:rPr>
          <w:rFonts w:hint="eastAsia" w:eastAsia="仿宋_GB2312"/>
          <w:szCs w:val="32"/>
        </w:rPr>
        <w:t xml:space="preserve"> </w:t>
      </w:r>
    </w:p>
    <w:p>
      <w:pPr>
        <w:numPr>
          <w:ilvl w:val="0"/>
          <w:numId w:val="1"/>
        </w:numPr>
        <w:adjustRightInd w:val="0"/>
        <w:spacing w:line="560" w:lineRule="exact"/>
        <w:ind w:firstLine="627" w:firstLineChars="196"/>
        <w:rPr>
          <w:rFonts w:hint="eastAsia" w:eastAsia="黑体" w:cs="黑体"/>
          <w:bCs/>
          <w:szCs w:val="32"/>
        </w:rPr>
      </w:pPr>
      <w:r>
        <w:rPr>
          <w:rFonts w:hint="eastAsia" w:eastAsia="黑体" w:cs="黑体"/>
          <w:bCs/>
          <w:szCs w:val="32"/>
        </w:rPr>
        <w:t>委托研究课题</w:t>
      </w:r>
    </w:p>
    <w:p>
      <w:pPr>
        <w:numPr>
          <w:ilvl w:val="0"/>
          <w:numId w:val="2"/>
        </w:numPr>
        <w:adjustRightInd w:val="0"/>
        <w:spacing w:line="560" w:lineRule="exact"/>
        <w:ind w:firstLine="640" w:firstLineChars="200"/>
        <w:rPr>
          <w:rFonts w:hint="eastAsia" w:eastAsia="仿宋_GB2312"/>
          <w:szCs w:val="32"/>
        </w:rPr>
      </w:pPr>
      <w:r>
        <w:rPr>
          <w:rFonts w:hint="eastAsia" w:eastAsia="仿宋_GB2312" w:cs="仿宋_GB2312"/>
          <w:szCs w:val="32"/>
        </w:rPr>
        <w:t>泰州市“十四五”科技创新发展规划研究</w:t>
      </w:r>
      <w:r>
        <w:rPr>
          <w:rFonts w:hint="eastAsia" w:eastAsia="仿宋_GB2312"/>
          <w:szCs w:val="32"/>
        </w:rPr>
        <w:t>；</w:t>
      </w:r>
    </w:p>
    <w:p>
      <w:pPr>
        <w:widowControl/>
        <w:adjustRightInd w:val="0"/>
        <w:spacing w:line="560" w:lineRule="exact"/>
        <w:ind w:firstLine="640" w:firstLineChars="200"/>
        <w:rPr>
          <w:rFonts w:hint="eastAsia" w:eastAsia="仿宋_GB2312"/>
          <w:szCs w:val="32"/>
        </w:rPr>
      </w:pPr>
      <w:r>
        <w:rPr>
          <w:rFonts w:hint="eastAsia" w:eastAsia="仿宋_GB2312" w:cs="仿宋_GB2312"/>
          <w:szCs w:val="32"/>
        </w:rPr>
        <w:t>学习借鉴北京、上海、广州、杭州、宁波、苏州等地区的经验做法，深入剖析泰州科技创新发展的现状、存在的突出矛盾和问题，明确泰州“十四五”期间科技创新发展的主要任务和重点方向。</w:t>
      </w:r>
    </w:p>
    <w:p>
      <w:pPr>
        <w:numPr>
          <w:ilvl w:val="0"/>
          <w:numId w:val="1"/>
        </w:numPr>
        <w:adjustRightInd w:val="0"/>
        <w:spacing w:line="560" w:lineRule="exact"/>
        <w:ind w:firstLine="627" w:firstLineChars="196"/>
        <w:rPr>
          <w:rFonts w:hint="eastAsia" w:eastAsia="黑体" w:cs="黑体"/>
          <w:bCs/>
          <w:szCs w:val="32"/>
        </w:rPr>
      </w:pPr>
      <w:r>
        <w:rPr>
          <w:rFonts w:hint="eastAsia" w:eastAsia="黑体" w:cs="黑体"/>
          <w:bCs/>
          <w:szCs w:val="32"/>
        </w:rPr>
        <w:t>重点课题</w:t>
      </w:r>
    </w:p>
    <w:p>
      <w:pPr>
        <w:numPr>
          <w:ilvl w:val="0"/>
          <w:numId w:val="3"/>
        </w:numPr>
        <w:adjustRightInd w:val="0"/>
        <w:spacing w:line="560" w:lineRule="exact"/>
        <w:rPr>
          <w:rFonts w:hint="eastAsia" w:eastAsia="仿宋_GB2312"/>
          <w:szCs w:val="32"/>
        </w:rPr>
      </w:pPr>
      <w:r>
        <w:rPr>
          <w:rFonts w:hint="eastAsia" w:eastAsia="仿宋_GB2312" w:cs="仿宋_GB2312"/>
          <w:szCs w:val="32"/>
        </w:rPr>
        <w:t>泰州市企业创新积分管理政策研究及思考</w:t>
      </w:r>
      <w:r>
        <w:rPr>
          <w:rFonts w:hint="eastAsia" w:eastAsia="仿宋_GB2312"/>
          <w:szCs w:val="32"/>
        </w:rPr>
        <w:t>；</w:t>
      </w:r>
    </w:p>
    <w:p>
      <w:pPr>
        <w:adjustRightInd w:val="0"/>
        <w:spacing w:line="560" w:lineRule="exact"/>
        <w:ind w:firstLine="640" w:firstLineChars="200"/>
        <w:rPr>
          <w:rFonts w:hint="eastAsia" w:eastAsia="仿宋_GB2312"/>
          <w:szCs w:val="32"/>
        </w:rPr>
      </w:pPr>
      <w:r>
        <w:rPr>
          <w:rFonts w:hint="eastAsia" w:eastAsia="仿宋_GB2312" w:cs="仿宋_GB2312"/>
          <w:szCs w:val="32"/>
        </w:rPr>
        <w:t>研究分析泰州企业创新发展情况和制约因素，提出泰州实施企业创新积分管理政策的有效路径和模式，梳理可复制推广的经验做法，分析存在的问题以及相应的对策措施。</w:t>
      </w:r>
    </w:p>
    <w:p>
      <w:pPr>
        <w:numPr>
          <w:ilvl w:val="0"/>
          <w:numId w:val="3"/>
        </w:numPr>
        <w:adjustRightInd w:val="0"/>
        <w:spacing w:line="560" w:lineRule="exact"/>
        <w:rPr>
          <w:rFonts w:hint="eastAsia" w:eastAsia="仿宋_GB2312"/>
          <w:szCs w:val="32"/>
        </w:rPr>
      </w:pPr>
      <w:r>
        <w:rPr>
          <w:rFonts w:hint="eastAsia" w:eastAsia="仿宋_GB2312" w:cs="仿宋_GB2312"/>
          <w:szCs w:val="32"/>
        </w:rPr>
        <w:t>推动泰州国家创新型城市建设的思考研究</w:t>
      </w:r>
      <w:r>
        <w:rPr>
          <w:rFonts w:hint="eastAsia" w:eastAsia="仿宋_GB2312"/>
          <w:szCs w:val="32"/>
        </w:rPr>
        <w:t>；</w:t>
      </w:r>
    </w:p>
    <w:p>
      <w:pPr>
        <w:adjustRightInd w:val="0"/>
        <w:spacing w:line="560" w:lineRule="exact"/>
        <w:ind w:firstLine="640" w:firstLineChars="200"/>
        <w:rPr>
          <w:rFonts w:hint="eastAsia" w:eastAsia="仿宋_GB2312" w:cs="仿宋_GB2312"/>
          <w:szCs w:val="32"/>
        </w:rPr>
      </w:pPr>
      <w:r>
        <w:rPr>
          <w:rFonts w:hint="eastAsia" w:eastAsia="仿宋_GB2312" w:cs="仿宋_GB2312"/>
          <w:szCs w:val="32"/>
        </w:rPr>
        <w:t>研究分析国家创新型城市的发展特点，深入剖析泰州在国家创新型试点城市建设的现状、基础和问题，明确泰州争创国家创新型城市的主要路径、主要任务和重点方向，提出对策建议。</w:t>
      </w:r>
    </w:p>
    <w:p>
      <w:pPr>
        <w:numPr>
          <w:ilvl w:val="0"/>
          <w:numId w:val="3"/>
        </w:numPr>
        <w:adjustRightInd w:val="0"/>
        <w:spacing w:line="560" w:lineRule="exact"/>
        <w:rPr>
          <w:rFonts w:hint="eastAsia" w:eastAsia="仿宋_GB2312"/>
          <w:szCs w:val="32"/>
        </w:rPr>
      </w:pPr>
      <w:r>
        <w:rPr>
          <w:rFonts w:hint="eastAsia" w:eastAsia="仿宋_GB2312" w:cs="仿宋_GB2312"/>
          <w:szCs w:val="32"/>
        </w:rPr>
        <w:t>泰州研发费用加计扣除政策研究及思考</w:t>
      </w:r>
      <w:r>
        <w:rPr>
          <w:rFonts w:hint="eastAsia" w:eastAsia="仿宋_GB2312"/>
          <w:szCs w:val="32"/>
        </w:rPr>
        <w:t>；</w:t>
      </w:r>
    </w:p>
    <w:p>
      <w:pPr>
        <w:adjustRightInd w:val="0"/>
        <w:spacing w:line="560" w:lineRule="exact"/>
        <w:ind w:firstLine="640" w:firstLineChars="200"/>
        <w:rPr>
          <w:rFonts w:hint="eastAsia" w:eastAsia="仿宋_GB2312" w:cs="仿宋_GB2312"/>
          <w:szCs w:val="32"/>
        </w:rPr>
      </w:pPr>
      <w:r>
        <w:rPr>
          <w:rFonts w:hint="eastAsia" w:eastAsia="仿宋_GB2312" w:cs="仿宋_GB2312"/>
          <w:szCs w:val="32"/>
        </w:rPr>
        <w:t>主要研究近年来泰州研发费用加计扣除政策落实的现状和成效，梳理可复制推广的经验做法，分析存在的瓶颈问题，提出进一步推动政策落实的对策建议。</w:t>
      </w:r>
    </w:p>
    <w:p>
      <w:pPr>
        <w:numPr>
          <w:ilvl w:val="0"/>
          <w:numId w:val="3"/>
        </w:numPr>
        <w:adjustRightInd w:val="0"/>
        <w:spacing w:line="560" w:lineRule="exact"/>
        <w:rPr>
          <w:rFonts w:hint="eastAsia" w:eastAsia="仿宋_GB2312"/>
          <w:szCs w:val="32"/>
        </w:rPr>
      </w:pPr>
      <w:r>
        <w:rPr>
          <w:rFonts w:hint="eastAsia" w:eastAsia="仿宋_GB2312" w:cs="仿宋_GB2312"/>
          <w:szCs w:val="32"/>
        </w:rPr>
        <w:t>泰州科技体制改革重点问题研究</w:t>
      </w:r>
      <w:r>
        <w:rPr>
          <w:rFonts w:hint="eastAsia" w:eastAsia="仿宋_GB2312"/>
          <w:szCs w:val="32"/>
        </w:rPr>
        <w:t>；</w:t>
      </w:r>
    </w:p>
    <w:p>
      <w:pPr>
        <w:adjustRightInd w:val="0"/>
        <w:spacing w:line="560" w:lineRule="exact"/>
        <w:ind w:firstLine="640" w:firstLineChars="200"/>
        <w:rPr>
          <w:rFonts w:hint="eastAsia" w:eastAsia="仿宋_GB2312"/>
          <w:szCs w:val="32"/>
        </w:rPr>
      </w:pPr>
      <w:r>
        <w:rPr>
          <w:rFonts w:hint="eastAsia" w:eastAsia="仿宋_GB2312" w:cs="仿宋_GB2312"/>
          <w:szCs w:val="32"/>
        </w:rPr>
        <w:t>主要研究在全面深化改革工作背景下，泰州科技体制机制存在的瓶颈制约，学习借鉴国内外先进经验，提出深入推进泰州科技体制改革重点问题的对策建议</w:t>
      </w:r>
      <w:r>
        <w:rPr>
          <w:rFonts w:hint="eastAsia" w:eastAsia="仿宋_GB2312"/>
          <w:szCs w:val="32"/>
        </w:rPr>
        <w:t>。</w:t>
      </w:r>
    </w:p>
    <w:p>
      <w:pPr>
        <w:numPr>
          <w:ilvl w:val="0"/>
          <w:numId w:val="1"/>
        </w:numPr>
        <w:adjustRightInd w:val="0"/>
        <w:spacing w:line="560" w:lineRule="exact"/>
        <w:ind w:firstLine="627" w:firstLineChars="196"/>
        <w:rPr>
          <w:rFonts w:hint="eastAsia" w:eastAsia="黑体" w:cs="黑体"/>
          <w:bCs/>
          <w:szCs w:val="32"/>
        </w:rPr>
      </w:pPr>
      <w:r>
        <w:rPr>
          <w:rFonts w:hint="eastAsia" w:eastAsia="黑体" w:cs="黑体"/>
          <w:bCs/>
          <w:szCs w:val="32"/>
        </w:rPr>
        <w:t>面上课题</w:t>
      </w:r>
    </w:p>
    <w:p>
      <w:pPr>
        <w:numPr>
          <w:ilvl w:val="0"/>
          <w:numId w:val="4"/>
        </w:numPr>
        <w:adjustRightInd w:val="0"/>
        <w:spacing w:line="560" w:lineRule="exact"/>
        <w:ind w:firstLine="640" w:firstLineChars="200"/>
        <w:rPr>
          <w:rFonts w:hint="eastAsia" w:eastAsia="仿宋_GB2312" w:cs="仿宋_GB2312"/>
          <w:szCs w:val="32"/>
        </w:rPr>
        <w:sectPr>
          <w:footerReference r:id="rId3" w:type="default"/>
          <w:footerReference r:id="rId4" w:type="even"/>
          <w:pgSz w:w="11907" w:h="16840"/>
          <w:pgMar w:top="2098" w:right="1474" w:bottom="1984" w:left="1588" w:header="851" w:footer="1531" w:gutter="0"/>
          <w:cols w:space="720" w:num="1"/>
          <w:rtlGutter w:val="0"/>
          <w:docGrid w:linePitch="312" w:charSpace="0"/>
        </w:sectPr>
      </w:pPr>
      <w:r>
        <w:rPr>
          <w:rFonts w:hint="eastAsia" w:eastAsia="仿宋_GB2312" w:cs="仿宋_GB2312"/>
          <w:szCs w:val="32"/>
        </w:rPr>
        <w:t>研究方向：支持科技创新理论与政策研究。围绕区域创新生态完善、科技与金融融合发展、科技与文化融合发展、科技管理创新、产业技术创新、创新型企业培育、科技人才引进和培养、科技人才支撑体系研究、园区创新能力提升、科技成果转化、“政产学研金用”协同创新路径、农业科技社会化服务体系建设、科技创业孵化能力建设、新型研发机构建设、科技技术市场建设、科技税收优惠政策落实情况等方面开展研究。按照支持方向自由选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jc w:val="right"/>
      <w:rPr>
        <w:rFonts w:eastAsia="宋体"/>
        <w:sz w:val="28"/>
        <w:szCs w:val="28"/>
      </w:rPr>
    </w:pPr>
    <w:r>
      <w:rPr>
        <w:rFonts w:eastAsia="宋体"/>
        <w:sz w:val="28"/>
        <w:szCs w:val="21"/>
      </w:rPr>
      <w:t xml:space="preserve">- </w:t>
    </w:r>
    <w:r>
      <w:rPr>
        <w:rFonts w:eastAsia="宋体"/>
        <w:sz w:val="28"/>
        <w:szCs w:val="21"/>
      </w:rPr>
      <w:fldChar w:fldCharType="begin"/>
    </w:r>
    <w:r>
      <w:rPr>
        <w:rFonts w:eastAsia="宋体"/>
        <w:sz w:val="28"/>
        <w:szCs w:val="21"/>
      </w:rPr>
      <w:instrText xml:space="preserve"> PAGE </w:instrText>
    </w:r>
    <w:r>
      <w:rPr>
        <w:rFonts w:eastAsia="宋体"/>
        <w:sz w:val="28"/>
        <w:szCs w:val="21"/>
      </w:rPr>
      <w:fldChar w:fldCharType="separate"/>
    </w:r>
    <w:r>
      <w:rPr>
        <w:rFonts w:eastAsia="宋体"/>
        <w:sz w:val="28"/>
        <w:szCs w:val="21"/>
      </w:rPr>
      <w:t>3</w:t>
    </w:r>
    <w:r>
      <w:rPr>
        <w:rFonts w:eastAsia="宋体"/>
        <w:sz w:val="28"/>
        <w:szCs w:val="21"/>
      </w:rPr>
      <w:fldChar w:fldCharType="end"/>
    </w:r>
    <w:r>
      <w:rPr>
        <w:rFonts w:eastAsia="宋体"/>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rPr>
        <w:rFonts w:eastAsia="宋体"/>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 xml:space="preserve"> PAGE </w:instrText>
    </w:r>
    <w:r>
      <w:rPr>
        <w:rFonts w:eastAsia="宋体"/>
        <w:sz w:val="28"/>
        <w:szCs w:val="28"/>
      </w:rPr>
      <w:fldChar w:fldCharType="separate"/>
    </w:r>
    <w:r>
      <w:rPr>
        <w:rFonts w:eastAsia="宋体"/>
        <w:sz w:val="28"/>
        <w:szCs w:val="28"/>
      </w:rPr>
      <w:t>4</w:t>
    </w:r>
    <w:r>
      <w:rPr>
        <w:rFonts w:eastAsia="宋体"/>
        <w:sz w:val="28"/>
        <w:szCs w:val="28"/>
      </w:rPr>
      <w:fldChar w:fldCharType="end"/>
    </w:r>
    <w:r>
      <w:rPr>
        <w:rFonts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9AA1"/>
    <w:multiLevelType w:val="singleLevel"/>
    <w:tmpl w:val="84709AA1"/>
    <w:lvl w:ilvl="0" w:tentative="0">
      <w:start w:val="1001"/>
      <w:numFmt w:val="decimal"/>
      <w:suff w:val="space"/>
      <w:lvlText w:val="%1."/>
      <w:lvlJc w:val="left"/>
    </w:lvl>
  </w:abstractNum>
  <w:abstractNum w:abstractNumId="1">
    <w:nsid w:val="AD409B4E"/>
    <w:multiLevelType w:val="singleLevel"/>
    <w:tmpl w:val="AD409B4E"/>
    <w:lvl w:ilvl="0" w:tentative="0">
      <w:start w:val="3001"/>
      <w:numFmt w:val="decimal"/>
      <w:suff w:val="space"/>
      <w:lvlText w:val="%1."/>
      <w:lvlJc w:val="left"/>
    </w:lvl>
  </w:abstractNum>
  <w:abstractNum w:abstractNumId="2">
    <w:nsid w:val="B5C21E0A"/>
    <w:multiLevelType w:val="singleLevel"/>
    <w:tmpl w:val="B5C21E0A"/>
    <w:lvl w:ilvl="0" w:tentative="0">
      <w:start w:val="2001"/>
      <w:numFmt w:val="decimal"/>
      <w:suff w:val="space"/>
      <w:lvlText w:val="%1."/>
      <w:lvlJc w:val="left"/>
      <w:pPr>
        <w:ind w:left="640" w:firstLine="0"/>
      </w:pPr>
    </w:lvl>
  </w:abstractNum>
  <w:abstractNum w:abstractNumId="3">
    <w:nsid w:val="6292D6CE"/>
    <w:multiLevelType w:val="singleLevel"/>
    <w:tmpl w:val="6292D6CE"/>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A74A2"/>
    <w:rsid w:val="083A74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2020-02-26T02:24:00Z</dcterms:created>
  <dc:creator>TZXY</dc:creator>
  <cp:lastModifiedBy>TZXY</cp:lastModifiedBy>
  <dcterms:modified xsi:type="dcterms:W3CDTF">2020-02-26T02:24:21Z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