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方正黑体_GBK" w:hAnsi="仿宋" w:eastAsia="方正黑体_GBK"/>
          <w:color w:val="000000"/>
          <w:sz w:val="32"/>
          <w:szCs w:val="32"/>
        </w:rPr>
      </w:pPr>
      <w:r>
        <w:rPr>
          <w:rFonts w:hint="eastAsia" w:ascii="方正黑体_GBK" w:hAnsi="仿宋" w:eastAsia="方正黑体_GBK"/>
          <w:color w:val="000000"/>
          <w:sz w:val="32"/>
          <w:szCs w:val="32"/>
        </w:rPr>
        <w:t>附件1</w:t>
      </w:r>
    </w:p>
    <w:p>
      <w:pPr>
        <w:spacing w:line="580" w:lineRule="exact"/>
        <w:rPr>
          <w:rFonts w:hint="eastAsia" w:ascii="方正仿宋_GBK" w:hAnsi="仿宋" w:eastAsia="方正仿宋_GBK"/>
          <w:color w:val="000000"/>
          <w:sz w:val="32"/>
          <w:szCs w:val="32"/>
        </w:rPr>
      </w:pPr>
    </w:p>
    <w:p>
      <w:pPr>
        <w:spacing w:line="360" w:lineRule="auto"/>
        <w:jc w:val="center"/>
        <w:rPr>
          <w:rFonts w:hint="eastAsia" w:ascii="方正小标宋_GBK" w:hAnsi="仿宋" w:eastAsia="方正小标宋_GBK"/>
          <w:color w:val="000000"/>
          <w:sz w:val="36"/>
          <w:szCs w:val="36"/>
        </w:rPr>
      </w:pPr>
      <w:bookmarkStart w:id="2" w:name="_GoBack"/>
      <w:r>
        <w:rPr>
          <w:rFonts w:hint="eastAsia" w:ascii="方正小标宋_GBK" w:hAnsi="仿宋" w:eastAsia="方正小标宋_GBK"/>
          <w:color w:val="000000"/>
          <w:sz w:val="36"/>
          <w:szCs w:val="36"/>
        </w:rPr>
        <w:t>2018年度泰州市科技支撑计划（社会发展）项目指南</w:t>
      </w:r>
    </w:p>
    <w:bookmarkEnd w:id="2"/>
    <w:p>
      <w:pPr>
        <w:spacing w:line="580" w:lineRule="exact"/>
        <w:rPr>
          <w:rFonts w:hint="eastAsia"/>
        </w:rPr>
      </w:pPr>
    </w:p>
    <w:p>
      <w:pPr>
        <w:spacing w:line="58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一、科技示范项目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 xml:space="preserve">1001  </w:t>
      </w:r>
      <w:r>
        <w:rPr>
          <w:rFonts w:hint="eastAsia" w:ascii="方正仿宋_GBK" w:hAnsi="仿宋" w:eastAsia="方正仿宋_GBK"/>
          <w:color w:val="000000"/>
          <w:sz w:val="32"/>
          <w:szCs w:val="32"/>
        </w:rPr>
        <w:t>大健康产业集聚发展科技示范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培育壮大富有泰州特色的大健康产业体系，加快发展康复疗养产业、生态农业和保健食品产业、康养旅游及健身产业、精准医疗产业，积极推进建设大健康产业特色园区、健康特色小镇（街区），促进“医药养食游”一体化发展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本条指南鼓励以园区、镇街为主体联合科研机构或有关企业共同申报，能够</w:t>
      </w:r>
      <w:r>
        <w:rPr>
          <w:rFonts w:ascii="方正仿宋_GBK" w:hAnsi="仿宋" w:eastAsia="方正仿宋_GBK"/>
          <w:color w:val="000000"/>
          <w:sz w:val="32"/>
          <w:szCs w:val="32"/>
        </w:rPr>
        <w:t>带动医疗相关上下游产业链发展</w:t>
      </w:r>
      <w:r>
        <w:rPr>
          <w:rFonts w:hint="eastAsia" w:ascii="方正仿宋_GBK" w:hAnsi="仿宋" w:eastAsia="方正仿宋_GBK"/>
          <w:color w:val="000000"/>
          <w:sz w:val="32"/>
          <w:szCs w:val="32"/>
        </w:rPr>
        <w:t>，形成示范，</w:t>
      </w:r>
      <w:r>
        <w:rPr>
          <w:rFonts w:hint="eastAsia" w:ascii="方正仿宋_GBK" w:eastAsia="方正仿宋_GBK"/>
          <w:sz w:val="32"/>
          <w:szCs w:val="32"/>
        </w:rPr>
        <w:t>项目实施情况良好可进行持续支持。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1002  基于公共安全物联网大数据的智能化云平台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以升级版技防城建设为载体，以“人、车、物、事件”等为感知对象，通过各类传感设备，应用生物与行为特征识别、车牌识别、人（车）流量统计等智能化技术，建设基础传输网络，利用大数据技术，实现安防物联网大数据应用云平台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本条指南鼓励县市（区）级以上公安局联合科研机构或有关企业共同申报，要求在一定范围内示范应用。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1003  生态宜居美丽城乡建设关键技术研究与示范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针对部分城乡地区资源过度开发、生态系统退化、农业（农村）面源污染、乡土特色破坏等问题，开展生态重建与修复、林田湖生态保护与景观营造、特色田园综合体建设、工业园区生态化发展等方面的技术创新，形成城乡生态环境——生态产业——生态文化等多过程调控与一体化发展，并开展应用示范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本条指南鼓励以园区、镇街为主体联合科研机构或有关企业共同申报，开展多环节攻关，有明显的生态环境改善前景，项目实施情况良好可持续支持。</w:t>
      </w:r>
    </w:p>
    <w:p>
      <w:pPr>
        <w:spacing w:line="58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二、大健康产业科技专项</w:t>
      </w:r>
    </w:p>
    <w:p>
      <w:pPr>
        <w:spacing w:line="580" w:lineRule="exact"/>
        <w:ind w:firstLine="630"/>
        <w:rPr>
          <w:rFonts w:hint="eastAsia" w:ascii="方正仿宋_GBK" w:hAnsi="宋体" w:eastAsia="方正仿宋_GBK" w:cs="方正仿宋_GBK"/>
          <w:b/>
          <w:kern w:val="0"/>
          <w:sz w:val="32"/>
          <w:szCs w:val="32"/>
        </w:rPr>
      </w:pPr>
      <w:r>
        <w:rPr>
          <w:rFonts w:hint="eastAsia" w:ascii="方正仿宋_GBK" w:hAnsi="仿宋" w:eastAsia="方正仿宋_GBK"/>
          <w:b/>
          <w:color w:val="000000"/>
          <w:sz w:val="32"/>
          <w:szCs w:val="32"/>
        </w:rPr>
        <w:t>1．</w:t>
      </w:r>
      <w:r>
        <w:rPr>
          <w:rFonts w:hint="eastAsia" w:ascii="方正仿宋_GBK" w:hAnsi="宋体" w:eastAsia="方正仿宋_GBK" w:cs="方正仿宋_GBK"/>
          <w:b/>
          <w:kern w:val="0"/>
          <w:sz w:val="32"/>
          <w:szCs w:val="32"/>
        </w:rPr>
        <w:t>临床诊疗技术</w:t>
      </w:r>
    </w:p>
    <w:p>
      <w:pPr>
        <w:spacing w:line="580" w:lineRule="exact"/>
        <w:ind w:firstLine="630"/>
        <w:rPr>
          <w:rFonts w:hint="eastAsia" w:ascii="方正仿宋_GBK" w:hAnsi="宋体" w:eastAsia="方正仿宋_GBK" w:cs="方正仿宋_GBK"/>
          <w:kern w:val="0"/>
          <w:sz w:val="32"/>
          <w:szCs w:val="32"/>
        </w:rPr>
      </w:pPr>
      <w:r>
        <w:rPr>
          <w:rFonts w:hint="eastAsia" w:ascii="方正仿宋_GBK" w:hAnsi="宋体" w:eastAsia="方正仿宋_GBK" w:cs="方正仿宋_GBK"/>
          <w:kern w:val="0"/>
          <w:sz w:val="32"/>
          <w:szCs w:val="32"/>
        </w:rPr>
        <w:t>坚持临床导向，开展医疗技术的临床转化应用研究。（此条指南按照临床专科申报，临床专科代码详见附件2）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2011  新型临床诊疗技术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b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b/>
          <w:color w:val="000000"/>
          <w:sz w:val="32"/>
          <w:szCs w:val="32"/>
        </w:rPr>
        <w:t>2．医药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宋体" w:eastAsia="方正仿宋_GBK" w:cs="方正仿宋_GBK"/>
          <w:kern w:val="0"/>
          <w:sz w:val="32"/>
          <w:szCs w:val="32"/>
        </w:rPr>
        <w:t>项目经费须用于除设备购置、产学研合作以外的其他支出类别。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2021  生物技术药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2022  化学新药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2023  现代中药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2024  生物试剂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2025  医用材料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2026  医疗器械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b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b/>
          <w:color w:val="000000"/>
          <w:sz w:val="32"/>
          <w:szCs w:val="32"/>
        </w:rPr>
        <w:t>3．公共卫生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考核指标中须确定技术应用范围，验收报告中须提供已完成的应用案例。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2031  病媒生物预防控制关键技术应用研究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2032  血液安全关键技术应用研究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2033  老年人健康关键技术应用研究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2034  妇女儿童健康关键技术应用研究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2035  高龄产妇产前、产后健康关键技术应用研究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2036  残疾人及慢病患者康复关键技术应用研究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2037  精神疾病的心理康复应用研究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2038  环境与健康风险评估关键技术研究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2039  </w:t>
      </w:r>
      <w:r>
        <w:rPr>
          <w:rFonts w:hint="eastAsia" w:ascii="方正仿宋_GBK" w:hAnsi="宋体" w:eastAsia="方正仿宋_GBK"/>
          <w:sz w:val="32"/>
          <w:szCs w:val="32"/>
        </w:rPr>
        <w:t>食品安全关键技术应用研究</w:t>
      </w:r>
    </w:p>
    <w:p>
      <w:pPr>
        <w:spacing w:line="58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三、生态文明建设科技专项</w:t>
      </w:r>
    </w:p>
    <w:p>
      <w:pPr>
        <w:spacing w:line="580" w:lineRule="exact"/>
        <w:ind w:firstLine="630"/>
        <w:rPr>
          <w:rFonts w:hint="eastAsia" w:ascii="方正仿宋_GBK" w:hAnsi="仿宋" w:eastAsia="方正仿宋_GBK"/>
          <w:color w:val="00000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>主要支持对我市环境保护和环境治理具有支撑作用，技术集成度高、能在全市范围内示范推广的项目。</w:t>
      </w:r>
    </w:p>
    <w:p>
      <w:pPr>
        <w:spacing w:line="580" w:lineRule="exact"/>
        <w:ind w:firstLine="63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仿宋" w:eastAsia="方正仿宋_GBK"/>
          <w:color w:val="000000"/>
          <w:sz w:val="32"/>
          <w:szCs w:val="32"/>
        </w:rPr>
        <w:t xml:space="preserve">3001  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饮用水先进处理技术研究及应用</w:t>
      </w:r>
    </w:p>
    <w:p>
      <w:pPr>
        <w:spacing w:line="580" w:lineRule="exact"/>
        <w:ind w:firstLine="63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3002  水污染</w:t>
      </w:r>
      <w:bookmarkStart w:id="0" w:name="OLE_LINK1"/>
      <w:bookmarkStart w:id="1" w:name="OLE_LINK2"/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源解析及</w:t>
      </w:r>
      <w:bookmarkEnd w:id="0"/>
      <w:bookmarkEnd w:id="1"/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治理关键技术应用研究</w:t>
      </w:r>
    </w:p>
    <w:p>
      <w:pPr>
        <w:spacing w:line="580" w:lineRule="exact"/>
        <w:ind w:firstLine="63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 xml:space="preserve">3003  </w:t>
      </w:r>
      <w:r>
        <w:rPr>
          <w:rFonts w:hint="eastAsia" w:ascii="方正仿宋_GBK" w:hAnsi="宋体" w:eastAsia="方正仿宋_GBK"/>
          <w:sz w:val="32"/>
          <w:szCs w:val="32"/>
        </w:rPr>
        <w:t>大气污染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源解析及</w:t>
      </w:r>
      <w:r>
        <w:rPr>
          <w:rFonts w:hint="eastAsia" w:ascii="方正仿宋_GBK" w:hAnsi="宋体" w:eastAsia="方正仿宋_GBK"/>
          <w:sz w:val="32"/>
          <w:szCs w:val="32"/>
        </w:rPr>
        <w:t>防治关键技术应用研究</w:t>
      </w:r>
    </w:p>
    <w:p>
      <w:pPr>
        <w:spacing w:line="580" w:lineRule="exact"/>
        <w:ind w:firstLine="63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3004  土壤污染诊断、风险防控、应急处置、治理与修复关键技术应用研究</w:t>
      </w:r>
    </w:p>
    <w:p>
      <w:pPr>
        <w:spacing w:line="580" w:lineRule="exact"/>
        <w:ind w:firstLine="63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3005  声、光等物理污染防控关键技术研究</w:t>
      </w:r>
    </w:p>
    <w:p>
      <w:pPr>
        <w:spacing w:line="580" w:lineRule="exact"/>
        <w:ind w:firstLine="63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3006  固体废弃物无害化处理和资源化利用关键技术应用研究</w:t>
      </w:r>
    </w:p>
    <w:p>
      <w:pPr>
        <w:spacing w:line="580" w:lineRule="exact"/>
        <w:ind w:firstLine="63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>3007  建筑节能与绿色建筑关键技术应用研究</w:t>
      </w:r>
    </w:p>
    <w:p>
      <w:pPr>
        <w:spacing w:line="58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>四、公共安全与社会管理专项</w:t>
      </w:r>
    </w:p>
    <w:p>
      <w:pPr>
        <w:spacing w:line="58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 xml:space="preserve">4001  </w:t>
      </w:r>
      <w:r>
        <w:rPr>
          <w:rFonts w:hint="eastAsia" w:ascii="方正仿宋_GBK" w:hAnsi="宋体" w:eastAsia="方正仿宋_GBK"/>
          <w:sz w:val="32"/>
          <w:szCs w:val="32"/>
        </w:rPr>
        <w:t>社会治安打防管控关键技术应用研究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/>
          <w:sz w:val="32"/>
          <w:szCs w:val="32"/>
        </w:rPr>
      </w:pPr>
      <w:r>
        <w:rPr>
          <w:rFonts w:hint="eastAsia" w:ascii="方正黑体_GBK" w:eastAsia="方正黑体_GBK"/>
          <w:sz w:val="32"/>
          <w:szCs w:val="32"/>
        </w:rPr>
        <w:t xml:space="preserve">4002  </w:t>
      </w:r>
      <w:r>
        <w:rPr>
          <w:rFonts w:hint="eastAsia" w:ascii="方正仿宋_GBK" w:hAnsi="宋体" w:eastAsia="方正仿宋_GBK"/>
          <w:sz w:val="32"/>
          <w:szCs w:val="32"/>
        </w:rPr>
        <w:t>气象、火灾、地震等灾害监测预警、防御及应急救助技术应用研究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/>
          <w:sz w:val="32"/>
          <w:szCs w:val="32"/>
        </w:rPr>
        <w:t xml:space="preserve">4003  </w:t>
      </w: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生产安全关键技术及规范的研究及应用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4004  智慧城市建设关键技术应用研究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4005  互联网技术在民生领域中的应用研究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4006  城市综合功能提升关键技术应用研究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4007  军民融合公共安全共性关键技术研究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4008  全民健身和体育竞技关键技术应用研究</w:t>
      </w:r>
    </w:p>
    <w:p>
      <w:pPr>
        <w:spacing w:line="580" w:lineRule="exact"/>
        <w:ind w:firstLine="640" w:firstLineChars="200"/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4009  文物保护与文化传承关键技术研究</w:t>
      </w:r>
    </w:p>
    <w:p>
      <w:pPr>
        <w:spacing w:line="580" w:lineRule="exact"/>
        <w:ind w:firstLine="640" w:firstLineChars="200"/>
        <w:rPr>
          <w:rFonts w:hint="eastAsia" w:ascii="方正黑体_GBK" w:eastAsia="方正黑体_GBK"/>
          <w:sz w:val="32"/>
          <w:szCs w:val="32"/>
        </w:rPr>
      </w:pPr>
      <w:r>
        <w:rPr>
          <w:rFonts w:hint="eastAsia" w:ascii="方正仿宋_GBK" w:hAnsi="宋体" w:eastAsia="方正仿宋_GBK" w:cs="宋体"/>
          <w:color w:val="000000"/>
          <w:kern w:val="0"/>
          <w:sz w:val="32"/>
          <w:szCs w:val="32"/>
        </w:rPr>
        <w:t>4010  园林绿化关键技术及规范的研究与应用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D47E80"/>
    <w:rsid w:val="08D47E8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2018-03-29T02:09:00Z</dcterms:created>
  <dc:creator>脉脉的太太</dc:creator>
  <cp:lastModifiedBy>脉脉的太太</cp:lastModifiedBy>
  <dcterms:modified xsi:type="dcterms:W3CDTF">2018-03-29T02:09:54Z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2052-10.1.0.7223</vt:lpwstr>
  </property>
</Properties>
</file>